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b/>
          <w:sz w:val="36"/>
          <w:szCs w:val="36"/>
        </w:rPr>
      </w:pPr>
      <w:r>
        <w:rPr>
          <w:rFonts w:ascii="黑体" w:hAnsi="Times New Roman" w:eastAsia="黑体" w:cs="Times New Roman"/>
          <w:b/>
          <w:sz w:val="36"/>
          <w:szCs w:val="36"/>
        </w:rPr>
        <w:t>《</w:t>
      </w:r>
      <w:r>
        <w:rPr>
          <w:rFonts w:hint="eastAsia" w:ascii="黑体" w:hAnsi="Times New Roman" w:eastAsia="黑体" w:cs="Times New Roman"/>
          <w:b/>
          <w:sz w:val="36"/>
          <w:szCs w:val="36"/>
        </w:rPr>
        <w:t>民法</w:t>
      </w:r>
      <w:r>
        <w:rPr>
          <w:rFonts w:hint="eastAsia" w:ascii="黑体" w:hAnsi="黑体" w:eastAsia="黑体" w:cs="Times New Roman"/>
          <w:b/>
          <w:sz w:val="36"/>
          <w:szCs w:val="36"/>
        </w:rPr>
        <w:t>Ⅰ</w:t>
      </w:r>
      <w:r>
        <w:rPr>
          <w:rFonts w:ascii="黑体" w:hAnsi="Times New Roman" w:eastAsia="黑体" w:cs="Times New Roman"/>
          <w:b/>
          <w:sz w:val="36"/>
          <w:szCs w:val="36"/>
        </w:rPr>
        <w:t>》课程教学大纲</w:t>
      </w:r>
    </w:p>
    <w:p>
      <w:pPr>
        <w:spacing w:line="360" w:lineRule="exact"/>
        <w:rPr>
          <w:rFonts w:ascii="黑体" w:hAnsi="Times New Roman" w:eastAsia="黑体" w:cs="Times New Roman"/>
          <w:sz w:val="24"/>
          <w:szCs w:val="24"/>
        </w:rPr>
      </w:pPr>
      <w:r>
        <w:rPr>
          <w:rFonts w:hint="eastAsia" w:ascii="黑体" w:hAnsi="Times New Roman" w:eastAsia="黑体" w:cs="Times New Roman"/>
          <w:sz w:val="24"/>
          <w:szCs w:val="24"/>
        </w:rPr>
        <w:t>一、课程基本信息</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课程</w:t>
      </w:r>
      <w:r>
        <w:rPr>
          <w:rFonts w:hint="eastAsia" w:ascii="Times New Roman" w:hAnsi="Times New Roman" w:eastAsia="宋体" w:cs="Times New Roman"/>
          <w:sz w:val="24"/>
          <w:szCs w:val="24"/>
        </w:rPr>
        <w:t>代码：</w:t>
      </w:r>
      <w:r>
        <w:rPr>
          <w:rFonts w:hint="eastAsia"/>
          <w:sz w:val="24"/>
        </w:rPr>
        <w:t>16185604</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课程名称：民法</w:t>
      </w:r>
    </w:p>
    <w:p>
      <w:pPr>
        <w:spacing w:line="3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英文名称：</w:t>
      </w:r>
      <w:r>
        <w:rPr>
          <w:rFonts w:hint="eastAsia" w:ascii="宋体" w:hAnsi="宋体" w:cs="宋体"/>
          <w:color w:val="000000"/>
          <w:kern w:val="0"/>
          <w:sz w:val="24"/>
        </w:rPr>
        <w:t>Civil code study</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课程</w:t>
      </w:r>
      <w:r>
        <w:rPr>
          <w:rFonts w:hint="eastAsia" w:ascii="Times New Roman" w:hAnsi="Times New Roman" w:eastAsia="宋体" w:cs="Times New Roman"/>
          <w:sz w:val="24"/>
          <w:szCs w:val="24"/>
        </w:rPr>
        <w:t>类别：学科基础课</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时：64</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分：4</w:t>
      </w:r>
    </w:p>
    <w:p>
      <w:pPr>
        <w:widowControl/>
        <w:tabs>
          <w:tab w:val="left" w:pos="0"/>
        </w:tabs>
        <w:spacing w:line="360" w:lineRule="exact"/>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 xml:space="preserve">适用对象: </w:t>
      </w:r>
      <w:r>
        <w:rPr>
          <w:rFonts w:hint="eastAsia" w:ascii="宋体" w:hAnsi="宋体" w:eastAsia="宋体" w:cs="Times New Roman"/>
          <w:color w:val="000000"/>
          <w:kern w:val="0"/>
          <w:sz w:val="24"/>
          <w:szCs w:val="24"/>
        </w:rPr>
        <w:t>法学本科</w:t>
      </w:r>
    </w:p>
    <w:p>
      <w:pPr>
        <w:widowControl/>
        <w:tabs>
          <w:tab w:val="left" w:pos="0"/>
        </w:tabs>
        <w:spacing w:line="36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考核方式：考试</w:t>
      </w:r>
    </w:p>
    <w:p>
      <w:pPr>
        <w:tabs>
          <w:tab w:val="left" w:pos="0"/>
        </w:tabs>
        <w:spacing w:line="3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先修课程：</w:t>
      </w:r>
      <w:r>
        <w:rPr>
          <w:rFonts w:hint="eastAsia" w:ascii="宋体" w:hAnsi="宋体" w:eastAsia="宋体"/>
          <w:color w:val="000000"/>
          <w:kern w:val="0"/>
          <w:sz w:val="24"/>
        </w:rPr>
        <w:t>法理学、宪法学</w:t>
      </w:r>
    </w:p>
    <w:p>
      <w:pPr>
        <w:spacing w:line="360" w:lineRule="exact"/>
        <w:rPr>
          <w:rFonts w:ascii="黑体" w:hAnsi="Times New Roman" w:eastAsia="黑体" w:cs="Times New Roman"/>
          <w:sz w:val="24"/>
          <w:szCs w:val="24"/>
        </w:rPr>
      </w:pPr>
      <w:r>
        <w:rPr>
          <w:rFonts w:hint="eastAsia" w:ascii="黑体" w:hAnsi="Times New Roman" w:eastAsia="黑体" w:cs="Times New Roman"/>
          <w:sz w:val="24"/>
          <w:szCs w:val="24"/>
        </w:rPr>
        <w:t>二、课程简介</w:t>
      </w:r>
    </w:p>
    <w:p>
      <w:pPr>
        <w:widowControl/>
        <w:tabs>
          <w:tab w:val="left" w:pos="0"/>
        </w:tabs>
        <w:spacing w:line="360" w:lineRule="exact"/>
        <w:ind w:firstLine="480" w:firstLineChars="200"/>
        <w:rPr>
          <w:rFonts w:ascii="宋体" w:hAnsi="宋体" w:eastAsia="宋体"/>
          <w:color w:val="000000"/>
          <w:kern w:val="0"/>
          <w:sz w:val="24"/>
        </w:rPr>
      </w:pPr>
      <w:r>
        <w:rPr>
          <w:rFonts w:hint="eastAsia" w:ascii="宋体" w:hAnsi="宋体" w:eastAsia="宋体"/>
          <w:color w:val="000000"/>
          <w:kern w:val="0"/>
          <w:sz w:val="24"/>
        </w:rPr>
        <w:t>中文简介</w:t>
      </w:r>
    </w:p>
    <w:p>
      <w:pPr>
        <w:widowControl/>
        <w:tabs>
          <w:tab w:val="left" w:pos="0"/>
        </w:tabs>
        <w:spacing w:line="360" w:lineRule="exact"/>
        <w:ind w:firstLine="480" w:firstLineChars="200"/>
        <w:rPr>
          <w:rFonts w:ascii="宋体" w:hAnsi="宋体" w:eastAsia="宋体"/>
          <w:color w:val="000000"/>
          <w:kern w:val="0"/>
          <w:sz w:val="24"/>
        </w:rPr>
      </w:pPr>
      <w:r>
        <w:rPr>
          <w:rFonts w:hint="eastAsia" w:ascii="宋体" w:hAnsi="宋体" w:eastAsia="宋体"/>
          <w:color w:val="000000"/>
          <w:kern w:val="0"/>
          <w:sz w:val="24"/>
        </w:rPr>
        <w:t>民法学是法学专业学生的重要课程，要求学生</w:t>
      </w:r>
      <w:r>
        <w:rPr>
          <w:rFonts w:ascii="宋体" w:hAnsi="宋体" w:eastAsia="宋体"/>
          <w:color w:val="000000"/>
          <w:kern w:val="0"/>
          <w:sz w:val="24"/>
        </w:rPr>
        <w:t>掌握民法学基本体系、基本原理和基本制度，了解法、德等各主要国家的民事法律制度，</w:t>
      </w:r>
      <w:r>
        <w:rPr>
          <w:rFonts w:ascii="宋体" w:hAnsi="宋体" w:eastAsia="宋体"/>
          <w:color w:val="FF0000"/>
          <w:kern w:val="0"/>
          <w:sz w:val="24"/>
        </w:rPr>
        <w:t>识记中国民法的主要内容。</w:t>
      </w:r>
      <w:r>
        <w:rPr>
          <w:rFonts w:ascii="宋体" w:hAnsi="宋体" w:eastAsia="宋体"/>
          <w:color w:val="000000"/>
          <w:kern w:val="0"/>
          <w:sz w:val="24"/>
        </w:rPr>
        <w:t>能够利用所学知识解决实际问题</w:t>
      </w:r>
      <w:bookmarkStart w:id="4" w:name="_GoBack"/>
      <w:bookmarkEnd w:id="4"/>
      <w:r>
        <w:rPr>
          <w:rFonts w:ascii="宋体" w:hAnsi="宋体" w:eastAsia="宋体"/>
          <w:color w:val="000000"/>
          <w:kern w:val="0"/>
          <w:sz w:val="24"/>
        </w:rPr>
        <w:t>，并使学习者具备初步的民法学科研能力。法学本科教学计划中，民法课程另开设合同法、知识产权法、婚姻继承法，故本大纲中不包含上述内容在内，但授课时要求老师把民法的传统体系交代清楚。</w:t>
      </w:r>
    </w:p>
    <w:p>
      <w:pPr>
        <w:widowControl/>
        <w:tabs>
          <w:tab w:val="left" w:pos="0"/>
        </w:tabs>
        <w:spacing w:line="360" w:lineRule="exact"/>
        <w:ind w:firstLine="480" w:firstLineChars="200"/>
        <w:rPr>
          <w:rFonts w:ascii="宋体" w:hAnsi="宋体" w:eastAsia="宋体"/>
          <w:color w:val="000000"/>
          <w:kern w:val="0"/>
          <w:sz w:val="24"/>
        </w:rPr>
      </w:pPr>
      <w:r>
        <w:rPr>
          <w:rFonts w:hint="eastAsia" w:ascii="宋体" w:hAnsi="宋体" w:eastAsia="宋体"/>
          <w:color w:val="000000"/>
          <w:kern w:val="0"/>
          <w:sz w:val="24"/>
        </w:rPr>
        <w:t>英文简介</w:t>
      </w:r>
    </w:p>
    <w:p>
      <w:pPr>
        <w:spacing w:line="360" w:lineRule="exact"/>
        <w:ind w:firstLine="480" w:firstLineChars="200"/>
        <w:rPr>
          <w:rFonts w:ascii="宋体" w:hAnsi="宋体" w:eastAsia="宋体" w:cs="Times New Roman"/>
          <w:sz w:val="24"/>
          <w:szCs w:val="24"/>
        </w:rPr>
      </w:pPr>
      <w:r>
        <w:rPr>
          <w:rFonts w:hint="eastAsia" w:ascii="宋体" w:hAnsi="宋体" w:eastAsia="宋体"/>
          <w:sz w:val="24"/>
        </w:rPr>
        <w:t>English introduction: Civil code study is an important course for students of jurisprudence specialty. Students are required to master the basic system, principles and framework, understand the civil laws framework of some major countries such as France and Germany, and memorize the major content of the Chinese civil code. The aim of the course is that students could resolve problems in current practices with the acquired knowledge and could do some primary studies in the science of civil laws.</w:t>
      </w:r>
    </w:p>
    <w:p>
      <w:pPr>
        <w:spacing w:line="360" w:lineRule="exact"/>
        <w:rPr>
          <w:rFonts w:ascii="黑体" w:hAnsi="宋体" w:eastAsia="黑体" w:cs="Times New Roman"/>
          <w:color w:val="000000"/>
          <w:kern w:val="0"/>
          <w:sz w:val="24"/>
          <w:szCs w:val="24"/>
        </w:rPr>
      </w:pPr>
      <w:r>
        <w:rPr>
          <w:rFonts w:hint="eastAsia" w:ascii="黑体" w:hAnsi="Times New Roman" w:eastAsia="黑体" w:cs="Times New Roman"/>
          <w:sz w:val="24"/>
          <w:szCs w:val="24"/>
        </w:rPr>
        <w:t>三、课程性质与教学目的</w:t>
      </w:r>
    </w:p>
    <w:p>
      <w:pPr>
        <w:widowControl/>
        <w:spacing w:line="360" w:lineRule="exact"/>
        <w:ind w:firstLine="480" w:firstLineChars="200"/>
        <w:jc w:val="left"/>
        <w:rPr>
          <w:rFonts w:ascii="宋体" w:hAnsi="宋体" w:eastAsia="宋体" w:cs="Times New Roman"/>
          <w:color w:val="000000"/>
          <w:kern w:val="0"/>
          <w:sz w:val="24"/>
          <w:szCs w:val="24"/>
        </w:rPr>
      </w:pPr>
      <w:r>
        <w:rPr>
          <w:rFonts w:ascii="宋体" w:hAnsi="宋体" w:eastAsia="宋体" w:cs="Times New Roman"/>
          <w:color w:val="000000"/>
          <w:kern w:val="0"/>
          <w:sz w:val="24"/>
          <w:szCs w:val="24"/>
        </w:rPr>
        <w:t>1、课程性质</w:t>
      </w:r>
    </w:p>
    <w:p>
      <w:pPr>
        <w:widowControl/>
        <w:spacing w:line="360" w:lineRule="exact"/>
        <w:ind w:firstLine="480" w:firstLineChars="20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学科基础课</w:t>
      </w:r>
    </w:p>
    <w:p>
      <w:pPr>
        <w:widowControl/>
        <w:spacing w:line="360" w:lineRule="exact"/>
        <w:ind w:firstLine="480" w:firstLineChars="200"/>
        <w:jc w:val="left"/>
        <w:rPr>
          <w:rFonts w:ascii="宋体" w:hAnsi="宋体" w:eastAsia="宋体" w:cs="Times New Roman"/>
          <w:color w:val="000000"/>
          <w:kern w:val="0"/>
          <w:sz w:val="24"/>
          <w:szCs w:val="24"/>
        </w:rPr>
      </w:pPr>
      <w:r>
        <w:rPr>
          <w:rFonts w:ascii="宋体" w:hAnsi="宋体" w:eastAsia="宋体" w:cs="Times New Roman"/>
          <w:color w:val="000000"/>
          <w:kern w:val="0"/>
          <w:sz w:val="24"/>
          <w:szCs w:val="24"/>
        </w:rPr>
        <w:t xml:space="preserve">2、教学目的 </w:t>
      </w:r>
    </w:p>
    <w:p>
      <w:pPr>
        <w:spacing w:line="360" w:lineRule="exact"/>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掌握民法学基本体系、基本原理、基本制度，以及民法的主要内容。</w:t>
      </w:r>
      <w:r>
        <w:rPr>
          <w:rFonts w:hint="eastAsia" w:ascii="黑体" w:hAnsi="黑体" w:eastAsia="黑体"/>
          <w:b/>
          <w:bCs/>
          <w:color w:val="FF0000"/>
          <w:sz w:val="24"/>
          <w:szCs w:val="24"/>
        </w:rPr>
        <w:t>理解</w:t>
      </w:r>
      <w:r>
        <w:rPr>
          <w:rFonts w:hint="eastAsia" w:ascii="黑体" w:hAnsi="黑体" w:eastAsia="黑体" w:cs="Times New Roman"/>
          <w:b/>
          <w:bCs/>
          <w:color w:val="FF0000"/>
          <w:sz w:val="24"/>
          <w:szCs w:val="24"/>
        </w:rPr>
        <w:t>马克思主义是民法学研究的理论基石，同时了解构建中国特色的民法学理论体系。</w:t>
      </w:r>
      <w:r>
        <w:rPr>
          <w:rFonts w:hint="eastAsia" w:ascii="宋体" w:hAnsi="宋体" w:eastAsia="宋体" w:cs="Times New Roman"/>
          <w:color w:val="000000"/>
          <w:kern w:val="0"/>
          <w:sz w:val="24"/>
          <w:szCs w:val="24"/>
        </w:rPr>
        <w:t>在此基础上，能够利用所学法律知识进行案例分析，并解决实际问题，同时使学习者具备初步的民法学科研能力。</w:t>
      </w:r>
      <w:r>
        <w:rPr>
          <w:rFonts w:ascii="宋体" w:hAnsi="宋体" w:eastAsia="宋体" w:cs="Times New Roman"/>
          <w:color w:val="000000"/>
          <w:kern w:val="0"/>
          <w:sz w:val="24"/>
          <w:szCs w:val="24"/>
        </w:rPr>
        <w:t xml:space="preserve"> </w:t>
      </w:r>
    </w:p>
    <w:p>
      <w:pPr>
        <w:spacing w:line="360" w:lineRule="exact"/>
        <w:rPr>
          <w:rFonts w:ascii="黑体" w:hAnsi="Times New Roman" w:eastAsia="黑体" w:cs="Times New Roman"/>
          <w:sz w:val="24"/>
          <w:szCs w:val="24"/>
        </w:rPr>
      </w:pPr>
      <w:r>
        <w:rPr>
          <w:rFonts w:hint="eastAsia" w:ascii="黑体" w:hAnsi="Times New Roman" w:eastAsia="黑体" w:cs="Times New Roman"/>
          <w:sz w:val="24"/>
          <w:szCs w:val="24"/>
        </w:rPr>
        <w:t xml:space="preserve">四、教学内容及要求 </w:t>
      </w:r>
    </w:p>
    <w:p>
      <w:pPr>
        <w:spacing w:line="360" w:lineRule="exact"/>
        <w:ind w:left="540" w:firstLine="723" w:firstLineChars="300"/>
        <w:rPr>
          <w:rFonts w:ascii="宋体" w:hAnsi="宋体" w:eastAsia="宋体" w:cs="Times New Roman"/>
          <w:b/>
          <w:bCs/>
          <w:sz w:val="24"/>
          <w:szCs w:val="24"/>
        </w:rPr>
      </w:pPr>
      <w:r>
        <w:rPr>
          <w:rFonts w:hint="eastAsia" w:ascii="Times New Roman" w:hAnsi="Times New Roman" w:eastAsia="宋体" w:cs="Times New Roman"/>
          <w:b/>
          <w:bCs/>
          <w:sz w:val="24"/>
          <w:szCs w:val="24"/>
        </w:rPr>
        <w:t>民法</w:t>
      </w:r>
      <w:r>
        <w:rPr>
          <w:rFonts w:hint="eastAsia" w:ascii="宋体" w:hAnsi="宋体" w:eastAsia="宋体" w:cs="Times New Roman"/>
          <w:b/>
          <w:bCs/>
          <w:sz w:val="24"/>
          <w:szCs w:val="24"/>
        </w:rPr>
        <w:t>Ⅰ</w:t>
      </w:r>
    </w:p>
    <w:p>
      <w:pPr>
        <w:spacing w:line="360" w:lineRule="exact"/>
        <w:ind w:left="540" w:firstLine="723" w:firstLineChars="300"/>
        <w:rPr>
          <w:rFonts w:ascii="宋体" w:hAnsi="宋体" w:eastAsia="宋体" w:cs="Times New Roman"/>
          <w:b/>
          <w:bCs/>
          <w:sz w:val="24"/>
          <w:szCs w:val="24"/>
        </w:rPr>
      </w:pPr>
    </w:p>
    <w:p>
      <w:pPr>
        <w:spacing w:line="360" w:lineRule="exact"/>
        <w:ind w:left="540" w:firstLine="723" w:firstLineChars="300"/>
        <w:rPr>
          <w:rFonts w:ascii="宋体" w:hAnsi="宋体" w:eastAsia="宋体" w:cs="Times New Roman"/>
          <w:b/>
          <w:bCs/>
          <w:sz w:val="24"/>
          <w:szCs w:val="24"/>
        </w:rPr>
      </w:pPr>
      <w:r>
        <w:rPr>
          <w:rFonts w:hint="eastAsia" w:ascii="宋体" w:hAnsi="宋体" w:eastAsia="宋体" w:cs="Times New Roman"/>
          <w:b/>
          <w:bCs/>
          <w:sz w:val="24"/>
          <w:szCs w:val="24"/>
        </w:rPr>
        <w:t>绪论</w:t>
      </w:r>
    </w:p>
    <w:p>
      <w:pPr>
        <w:pStyle w:val="6"/>
        <w:numPr>
          <w:ilvl w:val="0"/>
          <w:numId w:val="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目的与要求</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rPr>
        <w:t xml:space="preserve"> </w:t>
      </w:r>
      <w:r>
        <w:rPr>
          <w:rFonts w:hint="eastAsia" w:ascii="黑体" w:hAnsi="黑体" w:eastAsia="黑体"/>
          <w:sz w:val="24"/>
          <w:szCs w:val="24"/>
        </w:rPr>
        <w:t>理解</w:t>
      </w:r>
      <w:r>
        <w:rPr>
          <w:rFonts w:hint="eastAsia" w:ascii="黑体" w:hAnsi="黑体" w:eastAsia="黑体" w:cs="Times New Roman"/>
          <w:sz w:val="24"/>
          <w:szCs w:val="24"/>
        </w:rPr>
        <w:t>马克思主义是民法学研究的理论基石</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hint="eastAsia" w:ascii="黑体" w:hAnsi="黑体" w:eastAsia="黑体" w:cs="Times New Roman"/>
          <w:sz w:val="24"/>
          <w:szCs w:val="24"/>
        </w:rPr>
        <w:t>了解构建中国特色的民法学理论体系</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rPr>
        <w:t xml:space="preserve"> </w:t>
      </w:r>
      <w:r>
        <w:rPr>
          <w:rFonts w:hint="eastAsia" w:ascii="宋体" w:hAnsi="宋体" w:eastAsia="宋体"/>
          <w:sz w:val="24"/>
          <w:szCs w:val="24"/>
        </w:rPr>
        <w:t>掌握</w:t>
      </w:r>
      <w:r>
        <w:rPr>
          <w:rFonts w:hint="eastAsia" w:ascii="宋体" w:hAnsi="宋体" w:eastAsia="宋体" w:cs="Times New Roman"/>
          <w:sz w:val="24"/>
          <w:szCs w:val="24"/>
        </w:rPr>
        <w:t>学习民法学的具体方法</w:t>
      </w:r>
    </w:p>
    <w:p>
      <w:pPr>
        <w:pStyle w:val="6"/>
        <w:numPr>
          <w:ilvl w:val="0"/>
          <w:numId w:val="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教学内容</w:t>
      </w:r>
    </w:p>
    <w:p>
      <w:pPr>
        <w:pStyle w:val="6"/>
        <w:numPr>
          <w:ilvl w:val="0"/>
          <w:numId w:val="2"/>
        </w:numPr>
        <w:spacing w:line="360" w:lineRule="exact"/>
        <w:ind w:firstLineChars="0"/>
        <w:rPr>
          <w:rFonts w:ascii="宋体" w:hAnsi="宋体" w:eastAsia="宋体" w:cs="Times New Roman"/>
          <w:sz w:val="24"/>
          <w:szCs w:val="24"/>
        </w:rPr>
      </w:pPr>
      <w:bookmarkStart w:id="0" w:name="_Hlk59268413"/>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color w:val="FF0000"/>
          <w:sz w:val="24"/>
          <w:szCs w:val="24"/>
        </w:rPr>
      </w:pPr>
      <w:r>
        <w:rPr>
          <w:rFonts w:hint="eastAsia" w:ascii="宋体" w:hAnsi="宋体" w:eastAsia="宋体" w:cs="Times New Roman"/>
          <w:sz w:val="24"/>
          <w:szCs w:val="24"/>
        </w:rPr>
        <w:t>民法主要起源于罗马法；民法是私法、市场经济基本法、权利保障法；</w:t>
      </w:r>
      <w:r>
        <w:rPr>
          <w:rFonts w:hint="eastAsia" w:ascii="黑体" w:hAnsi="黑体" w:eastAsia="黑体" w:cs="Times New Roman"/>
          <w:color w:val="FF0000"/>
          <w:sz w:val="24"/>
          <w:szCs w:val="24"/>
        </w:rPr>
        <w:t>中国特色民法学理论体系的特征本土性、实践性、时代性、包容性、科学性</w:t>
      </w:r>
      <w:r>
        <w:rPr>
          <w:rFonts w:hint="eastAsia" w:ascii="宋体" w:hAnsi="宋体" w:eastAsia="宋体" w:cs="Times New Roman"/>
          <w:color w:val="FF0000"/>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概念</w:t>
      </w:r>
      <w:r>
        <w:rPr>
          <w:rFonts w:hint="eastAsia" w:ascii="宋体" w:hAnsi="宋体" w:eastAsia="宋体" w:cs="Times New Roman"/>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民法；民法学；罗马法；</w:t>
      </w:r>
      <w:r>
        <w:rPr>
          <w:rFonts w:hint="eastAsia" w:ascii="黑体" w:hAnsi="黑体" w:eastAsia="黑体" w:cs="Times New Roman"/>
          <w:color w:val="FF0000"/>
          <w:sz w:val="24"/>
          <w:szCs w:val="24"/>
        </w:rPr>
        <w:t>中国特色的民法学。</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知识点</w:t>
      </w:r>
      <w:r>
        <w:rPr>
          <w:rFonts w:hint="eastAsia" w:ascii="宋体" w:hAnsi="宋体" w:eastAsia="宋体" w:cs="Times New Roman"/>
          <w:sz w:val="24"/>
          <w:szCs w:val="24"/>
        </w:rPr>
        <w:t>：</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1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⑴</w:t>
      </w:r>
      <w:r>
        <w:rPr>
          <w:rFonts w:ascii="宋体" w:hAnsi="宋体" w:eastAsia="宋体" w:cs="Times New Roman"/>
          <w:sz w:val="24"/>
          <w:szCs w:val="24"/>
        </w:rPr>
        <w:fldChar w:fldCharType="end"/>
      </w:r>
      <w:r>
        <w:rPr>
          <w:rFonts w:hint="eastAsia" w:ascii="黑体" w:hAnsi="黑体" w:eastAsia="黑体" w:cs="Times New Roman"/>
          <w:sz w:val="24"/>
          <w:szCs w:val="24"/>
        </w:rPr>
        <w:t>马克思主义是民法学研究的基本方法</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2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⑵</w:t>
      </w:r>
      <w:r>
        <w:rPr>
          <w:rFonts w:ascii="宋体" w:hAnsi="宋体" w:eastAsia="宋体" w:cs="Times New Roman"/>
          <w:sz w:val="24"/>
          <w:szCs w:val="24"/>
        </w:rPr>
        <w:fldChar w:fldCharType="end"/>
      </w:r>
      <w:r>
        <w:rPr>
          <w:rFonts w:hint="eastAsia" w:ascii="宋体" w:hAnsi="宋体" w:eastAsia="宋体" w:cs="Times New Roman"/>
          <w:sz w:val="24"/>
          <w:szCs w:val="24"/>
        </w:rPr>
        <w:t>从民法的历史发展认识民法</w:t>
      </w:r>
    </w:p>
    <w:p>
      <w:pPr>
        <w:pStyle w:val="6"/>
        <w:spacing w:line="360" w:lineRule="exact"/>
        <w:ind w:left="1260" w:firstLine="0" w:firstLineChars="0"/>
        <w:rPr>
          <w:rFonts w:ascii="宋体" w:hAnsi="宋体" w:eastAsia="宋体" w:cs="Times New Roman"/>
          <w:color w:val="FF0000"/>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3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⑶</w:t>
      </w:r>
      <w:r>
        <w:rPr>
          <w:rFonts w:ascii="宋体" w:hAnsi="宋体" w:eastAsia="宋体" w:cs="Times New Roman"/>
          <w:sz w:val="24"/>
          <w:szCs w:val="24"/>
        </w:rPr>
        <w:fldChar w:fldCharType="end"/>
      </w:r>
      <w:r>
        <w:rPr>
          <w:rFonts w:hint="eastAsia" w:ascii="黑体" w:hAnsi="黑体" w:eastAsia="黑体" w:cs="Times New Roman"/>
          <w:color w:val="FF0000"/>
          <w:sz w:val="24"/>
          <w:szCs w:val="24"/>
        </w:rPr>
        <w:t>构建中国特色的民法学理论体系</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4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⑷</w:t>
      </w:r>
      <w:r>
        <w:rPr>
          <w:rFonts w:ascii="宋体" w:hAnsi="宋体" w:eastAsia="宋体" w:cs="Times New Roman"/>
          <w:sz w:val="24"/>
          <w:szCs w:val="24"/>
        </w:rPr>
        <w:fldChar w:fldCharType="end"/>
      </w:r>
      <w:r>
        <w:rPr>
          <w:rFonts w:hint="eastAsia" w:ascii="宋体" w:hAnsi="宋体" w:eastAsia="宋体" w:cs="Times New Roman"/>
          <w:sz w:val="24"/>
          <w:szCs w:val="24"/>
        </w:rPr>
        <w:t>学习民法的具体方法</w:t>
      </w:r>
    </w:p>
    <w:p>
      <w:pPr>
        <w:pStyle w:val="6"/>
        <w:numPr>
          <w:ilvl w:val="0"/>
          <w:numId w:val="2"/>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问题与应用</w:t>
      </w:r>
    </w:p>
    <w:p>
      <w:pPr>
        <w:pStyle w:val="6"/>
        <w:spacing w:line="360" w:lineRule="exact"/>
        <w:ind w:left="1620" w:firstLine="0" w:firstLineChars="0"/>
        <w:rPr>
          <w:rFonts w:ascii="宋体" w:hAnsi="宋体" w:eastAsia="宋体" w:cs="Times New Roman"/>
          <w:color w:val="FF0000"/>
          <w:sz w:val="24"/>
          <w:szCs w:val="24"/>
        </w:rPr>
      </w:pPr>
      <w:r>
        <w:rPr>
          <w:rFonts w:ascii="宋体" w:hAnsi="宋体" w:eastAsia="宋体" w:cs="Times New Roman"/>
          <w:color w:val="FF0000"/>
          <w:sz w:val="24"/>
          <w:szCs w:val="24"/>
        </w:rPr>
        <w:fldChar w:fldCharType="begin"/>
      </w:r>
      <w:r>
        <w:rPr>
          <w:rFonts w:ascii="宋体" w:hAnsi="宋体" w:eastAsia="宋体" w:cs="Times New Roman"/>
          <w:color w:val="FF0000"/>
          <w:sz w:val="24"/>
          <w:szCs w:val="24"/>
        </w:rPr>
        <w:instrText xml:space="preserve"> </w:instrText>
      </w:r>
      <w:r>
        <w:rPr>
          <w:rFonts w:hint="eastAsia" w:ascii="宋体" w:hAnsi="宋体" w:eastAsia="宋体" w:cs="Times New Roman"/>
          <w:color w:val="FF0000"/>
          <w:sz w:val="24"/>
          <w:szCs w:val="24"/>
        </w:rPr>
        <w:instrText xml:space="preserve">= 1 \* GB2</w:instrText>
      </w:r>
      <w:r>
        <w:rPr>
          <w:rFonts w:ascii="宋体" w:hAnsi="宋体" w:eastAsia="宋体" w:cs="Times New Roman"/>
          <w:color w:val="FF0000"/>
          <w:sz w:val="24"/>
          <w:szCs w:val="24"/>
        </w:rPr>
        <w:instrText xml:space="preserve"> </w:instrText>
      </w:r>
      <w:r>
        <w:rPr>
          <w:rFonts w:ascii="宋体" w:hAnsi="宋体" w:eastAsia="宋体" w:cs="Times New Roman"/>
          <w:color w:val="FF0000"/>
          <w:sz w:val="24"/>
          <w:szCs w:val="24"/>
        </w:rPr>
        <w:fldChar w:fldCharType="separate"/>
      </w:r>
      <w:r>
        <w:rPr>
          <w:rFonts w:hint="eastAsia" w:ascii="宋体" w:hAnsi="宋体" w:eastAsia="宋体" w:cs="Times New Roman"/>
          <w:color w:val="FF0000"/>
          <w:sz w:val="24"/>
          <w:szCs w:val="24"/>
        </w:rPr>
        <w:t>⑴</w:t>
      </w:r>
      <w:r>
        <w:rPr>
          <w:rFonts w:ascii="宋体" w:hAnsi="宋体" w:eastAsia="宋体" w:cs="Times New Roman"/>
          <w:color w:val="FF0000"/>
          <w:sz w:val="24"/>
          <w:szCs w:val="24"/>
        </w:rPr>
        <w:fldChar w:fldCharType="end"/>
      </w:r>
      <w:r>
        <w:rPr>
          <w:rFonts w:hint="eastAsia" w:ascii="黑体" w:hAnsi="黑体" w:eastAsia="黑体" w:cs="Times New Roman"/>
          <w:color w:val="FF0000"/>
          <w:sz w:val="24"/>
          <w:szCs w:val="24"/>
        </w:rPr>
        <w:t>马克思主义与民法理论的如何结合</w:t>
      </w:r>
      <w:r>
        <w:rPr>
          <w:rFonts w:hint="eastAsia" w:ascii="宋体" w:hAnsi="宋体" w:eastAsia="宋体" w:cs="Times New Roman"/>
          <w:color w:val="FF0000"/>
          <w:sz w:val="24"/>
          <w:szCs w:val="24"/>
        </w:rPr>
        <w:t>？</w:t>
      </w:r>
    </w:p>
    <w:p>
      <w:pPr>
        <w:pStyle w:val="6"/>
        <w:spacing w:line="360" w:lineRule="exact"/>
        <w:ind w:left="162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2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⑵</w:t>
      </w:r>
      <w:r>
        <w:rPr>
          <w:rFonts w:ascii="宋体" w:hAnsi="宋体" w:eastAsia="宋体" w:cs="Times New Roman"/>
          <w:sz w:val="24"/>
          <w:szCs w:val="24"/>
        </w:rPr>
        <w:fldChar w:fldCharType="end"/>
      </w:r>
      <w:r>
        <w:rPr>
          <w:rFonts w:hint="eastAsia" w:ascii="宋体" w:hAnsi="宋体" w:eastAsia="宋体" w:cs="Times New Roman"/>
          <w:sz w:val="24"/>
          <w:szCs w:val="24"/>
        </w:rPr>
        <w:t>如何掌握学习民法的方法？</w:t>
      </w:r>
    </w:p>
    <w:bookmarkEnd w:id="0"/>
    <w:p>
      <w:pPr>
        <w:pStyle w:val="6"/>
        <w:numPr>
          <w:ilvl w:val="0"/>
          <w:numId w:val="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思考与实践</w:t>
      </w:r>
    </w:p>
    <w:p>
      <w:pPr>
        <w:pStyle w:val="6"/>
        <w:numPr>
          <w:ilvl w:val="3"/>
          <w:numId w:val="1"/>
        </w:numPr>
        <w:spacing w:line="360" w:lineRule="exact"/>
        <w:ind w:firstLineChars="0"/>
        <w:rPr>
          <w:rFonts w:ascii="宋体" w:hAnsi="宋体" w:eastAsia="宋体" w:cs="Times New Roman"/>
          <w:color w:val="FF0000"/>
          <w:sz w:val="24"/>
          <w:szCs w:val="24"/>
        </w:rPr>
      </w:pPr>
      <w:r>
        <w:rPr>
          <w:rFonts w:hint="eastAsia" w:ascii="黑体" w:hAnsi="黑体" w:eastAsia="黑体" w:cs="Times New Roman"/>
          <w:color w:val="FF0000"/>
          <w:sz w:val="24"/>
          <w:szCs w:val="24"/>
        </w:rPr>
        <w:t>如何构建符合中国国情的民法学理论体系</w:t>
      </w:r>
      <w:r>
        <w:rPr>
          <w:rFonts w:hint="eastAsia" w:ascii="宋体" w:hAnsi="宋体" w:eastAsia="宋体" w:cs="Times New Roman"/>
          <w:color w:val="FF0000"/>
          <w:sz w:val="24"/>
          <w:szCs w:val="24"/>
        </w:rPr>
        <w:t>；</w:t>
      </w:r>
    </w:p>
    <w:p>
      <w:pPr>
        <w:pStyle w:val="6"/>
        <w:numPr>
          <w:ilvl w:val="3"/>
          <w:numId w:val="1"/>
        </w:numPr>
        <w:spacing w:line="360" w:lineRule="exact"/>
        <w:ind w:firstLineChars="0"/>
        <w:rPr>
          <w:rFonts w:ascii="宋体" w:hAnsi="宋体" w:eastAsia="宋体" w:cs="Times New Roman"/>
          <w:color w:val="FF0000"/>
          <w:sz w:val="24"/>
          <w:szCs w:val="24"/>
        </w:rPr>
      </w:pPr>
      <w:r>
        <w:rPr>
          <w:rFonts w:hint="eastAsia" w:ascii="黑体" w:hAnsi="黑体" w:eastAsia="黑体" w:cs="Times New Roman"/>
          <w:color w:val="FF0000"/>
          <w:sz w:val="24"/>
          <w:szCs w:val="24"/>
        </w:rPr>
        <w:t>中国民法理论如何与中国文化结合.</w:t>
      </w:r>
    </w:p>
    <w:p>
      <w:pPr>
        <w:pStyle w:val="6"/>
        <w:numPr>
          <w:ilvl w:val="0"/>
          <w:numId w:val="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教学方法与手段</w:t>
      </w:r>
    </w:p>
    <w:p>
      <w:pPr>
        <w:spacing w:line="360" w:lineRule="exact"/>
        <w:ind w:left="1260"/>
        <w:rPr>
          <w:rFonts w:ascii="宋体" w:hAnsi="宋体" w:eastAsia="宋体" w:cs="Times New Roman"/>
          <w:sz w:val="24"/>
          <w:szCs w:val="24"/>
        </w:rPr>
      </w:pPr>
      <w:r>
        <w:rPr>
          <w:rFonts w:hint="eastAsia" w:ascii="宋体" w:hAnsi="宋体" w:eastAsia="宋体" w:cs="Times New Roman"/>
          <w:sz w:val="24"/>
          <w:szCs w:val="24"/>
        </w:rPr>
        <w:t>课堂讲授</w:t>
      </w:r>
    </w:p>
    <w:p>
      <w:pPr>
        <w:spacing w:line="360" w:lineRule="exact"/>
        <w:ind w:left="540"/>
        <w:rPr>
          <w:rFonts w:ascii="宋体" w:hAnsi="宋体" w:eastAsia="宋体" w:cs="Times New Roman"/>
          <w:b/>
          <w:bCs/>
          <w:sz w:val="24"/>
          <w:szCs w:val="24"/>
        </w:rPr>
      </w:pPr>
    </w:p>
    <w:p>
      <w:pPr>
        <w:spacing w:line="360" w:lineRule="exact"/>
        <w:ind w:left="540"/>
        <w:rPr>
          <w:rFonts w:ascii="宋体" w:hAnsi="宋体" w:eastAsia="宋体" w:cs="Times New Roman"/>
          <w:b/>
          <w:bCs/>
          <w:sz w:val="24"/>
          <w:szCs w:val="24"/>
        </w:rPr>
      </w:pPr>
      <w:r>
        <w:rPr>
          <w:rFonts w:hint="eastAsia" w:ascii="宋体" w:hAnsi="宋体" w:eastAsia="宋体" w:cs="Times New Roman"/>
          <w:b/>
          <w:bCs/>
          <w:sz w:val="24"/>
          <w:szCs w:val="24"/>
        </w:rPr>
        <w:t>第一章 民法总论</w:t>
      </w:r>
    </w:p>
    <w:p>
      <w:pPr>
        <w:pStyle w:val="6"/>
        <w:numPr>
          <w:ilvl w:val="0"/>
          <w:numId w:val="3"/>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目的与要求</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rPr>
        <w:t xml:space="preserve"> </w:t>
      </w:r>
      <w:r>
        <w:rPr>
          <w:rFonts w:hint="eastAsia" w:ascii="宋体" w:hAnsi="宋体" w:eastAsia="宋体"/>
          <w:sz w:val="24"/>
          <w:szCs w:val="24"/>
        </w:rPr>
        <w:t>教学目的：</w:t>
      </w:r>
      <w:r>
        <w:rPr>
          <w:rFonts w:hint="eastAsia" w:ascii="宋体" w:hAnsi="宋体" w:eastAsia="宋体" w:cs="Times New Roman"/>
          <w:sz w:val="24"/>
          <w:szCs w:val="24"/>
        </w:rPr>
        <w:t>使学生对民法有一个概括性的了解和认识，对民法有比较全面清晰的掌握。使学生掌握民事法律专业知识，培养专业技能，开拓专业视野。</w:t>
      </w:r>
      <w:r>
        <w:rPr>
          <w:rFonts w:hint="eastAsia" w:ascii="宋体" w:hAnsi="宋体" w:eastAsia="宋体" w:cs="Times New Roman"/>
          <w:b/>
          <w:bCs/>
          <w:color w:val="FF0000"/>
          <w:sz w:val="24"/>
          <w:szCs w:val="24"/>
        </w:rPr>
        <w:t>深刻理解民法与我国社会传统特点结合的意义</w:t>
      </w:r>
      <w:r>
        <w:rPr>
          <w:rFonts w:hint="eastAsia" w:ascii="宋体" w:hAnsi="宋体" w:eastAsia="宋体" w:cs="Times New Roman"/>
          <w:sz w:val="24"/>
          <w:szCs w:val="24"/>
        </w:rPr>
        <w:t>。</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sz w:val="24"/>
          <w:szCs w:val="24"/>
        </w:rPr>
        <w:t>2．教学要求：讲解、分析民法的概念、民法的调整对象、各项民事法律制度等，使学生能够正确理解民法的概念，掌握民法的基本原理，熟悉各项民事法律制度，并运用这些民法基本理论妥善处理相应的民事纠纷。重点应放在民法的基本知识、基本理论、基本制度上以及分析问题、解决问题的能力培养上，运用案例教学，提高学生理解法律与适用法律的能力。</w:t>
      </w:r>
      <w:r>
        <w:rPr>
          <w:rFonts w:hint="eastAsia" w:ascii="宋体" w:hAnsi="宋体" w:eastAsia="宋体" w:cs="Times New Roman"/>
          <w:b/>
          <w:bCs/>
          <w:color w:val="FF0000"/>
          <w:sz w:val="24"/>
          <w:szCs w:val="24"/>
        </w:rPr>
        <w:t>能够将社会主义价值观融入民法原理的运用。</w:t>
      </w:r>
    </w:p>
    <w:p>
      <w:pPr>
        <w:pStyle w:val="6"/>
        <w:numPr>
          <w:ilvl w:val="0"/>
          <w:numId w:val="3"/>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教学内容</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第一节 民法概述</w:t>
      </w:r>
    </w:p>
    <w:p>
      <w:pPr>
        <w:pStyle w:val="6"/>
        <w:numPr>
          <w:ilvl w:val="0"/>
          <w:numId w:val="4"/>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民法的调整对象是平等主体之间的人身关系与财产关系；民法与宪法、行政法、社会法、民事诉讼法等不同的法律部门存在紧密的联系；民法的渊源包括宪法、民事法律、行政法规、司法解释、地方性自治条例、单行条例、行政规章、国家条约和国际惯例与习惯；民法的基本原则有：平等原则；意思自治；</w:t>
      </w:r>
      <w:r>
        <w:rPr>
          <w:rFonts w:hint="eastAsia" w:ascii="宋体" w:hAnsi="宋体" w:eastAsia="宋体" w:cs="Times New Roman"/>
          <w:b/>
          <w:bCs/>
          <w:color w:val="FF0000"/>
          <w:sz w:val="24"/>
          <w:szCs w:val="24"/>
        </w:rPr>
        <w:t>公平原则</w:t>
      </w:r>
      <w:r>
        <w:rPr>
          <w:rFonts w:hint="eastAsia" w:ascii="宋体" w:hAnsi="宋体" w:eastAsia="宋体" w:cs="Times New Roman"/>
          <w:color w:val="FF0000"/>
          <w:sz w:val="24"/>
          <w:szCs w:val="24"/>
        </w:rPr>
        <w:t>；</w:t>
      </w:r>
      <w:r>
        <w:rPr>
          <w:rFonts w:hint="eastAsia" w:ascii="黑体" w:hAnsi="黑体" w:eastAsia="黑体" w:cs="Times New Roman"/>
          <w:color w:val="FF0000"/>
          <w:sz w:val="24"/>
          <w:szCs w:val="24"/>
        </w:rPr>
        <w:t>诚信原则；公序良俗；绿色原则</w:t>
      </w:r>
      <w:r>
        <w:rPr>
          <w:rFonts w:hint="eastAsia" w:ascii="黑体" w:hAnsi="黑体" w:eastAsia="黑体" w:cs="Times New Roman"/>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黑体" w:hAnsi="黑体" w:eastAsia="黑体" w:cs="Times New Roman"/>
          <w:color w:val="FF0000"/>
          <w:sz w:val="24"/>
          <w:szCs w:val="24"/>
        </w:rPr>
      </w:pPr>
      <w:r>
        <w:rPr>
          <w:rFonts w:hint="eastAsia" w:ascii="宋体" w:hAnsi="宋体" w:eastAsia="宋体" w:cs="Times New Roman"/>
          <w:b/>
          <w:bCs/>
          <w:sz w:val="24"/>
          <w:szCs w:val="24"/>
        </w:rPr>
        <w:t>概念</w:t>
      </w:r>
      <w:r>
        <w:rPr>
          <w:rFonts w:hint="eastAsia" w:ascii="宋体" w:hAnsi="宋体" w:eastAsia="宋体" w:cs="Times New Roman"/>
          <w:sz w:val="24"/>
          <w:szCs w:val="24"/>
        </w:rPr>
        <w:t>：民法渊源；平等原则；意思自治；公平原则；</w:t>
      </w:r>
      <w:r>
        <w:rPr>
          <w:rFonts w:hint="eastAsia" w:ascii="黑体" w:hAnsi="黑体" w:eastAsia="黑体" w:cs="Times New Roman"/>
          <w:b/>
          <w:bCs/>
          <w:color w:val="FF0000"/>
          <w:sz w:val="24"/>
          <w:szCs w:val="24"/>
        </w:rPr>
        <w:t>诚信原则；公序良俗；绿色原则</w:t>
      </w:r>
      <w:r>
        <w:rPr>
          <w:rFonts w:hint="eastAsia" w:ascii="黑体" w:hAnsi="黑体" w:eastAsia="黑体" w:cs="Times New Roman"/>
          <w:color w:val="FF0000"/>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知识点</w:t>
      </w:r>
      <w:r>
        <w:rPr>
          <w:rFonts w:hint="eastAsia" w:ascii="宋体" w:hAnsi="宋体" w:eastAsia="宋体" w:cs="Times New Roman"/>
          <w:sz w:val="24"/>
          <w:szCs w:val="24"/>
        </w:rPr>
        <w:t xml:space="preserve">： </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1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⑴</w:t>
      </w:r>
      <w:r>
        <w:rPr>
          <w:rFonts w:ascii="宋体" w:hAnsi="宋体" w:eastAsia="宋体" w:cs="Times New Roman"/>
          <w:sz w:val="24"/>
          <w:szCs w:val="24"/>
        </w:rPr>
        <w:fldChar w:fldCharType="end"/>
      </w:r>
      <w:r>
        <w:rPr>
          <w:rFonts w:hint="eastAsia" w:ascii="宋体" w:hAnsi="宋体" w:eastAsia="宋体" w:cs="Times New Roman"/>
          <w:sz w:val="24"/>
          <w:szCs w:val="24"/>
        </w:rPr>
        <w:t>民法概念</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2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⑵</w:t>
      </w:r>
      <w:r>
        <w:rPr>
          <w:rFonts w:ascii="宋体" w:hAnsi="宋体" w:eastAsia="宋体" w:cs="Times New Roman"/>
          <w:sz w:val="24"/>
          <w:szCs w:val="24"/>
        </w:rPr>
        <w:fldChar w:fldCharType="end"/>
      </w:r>
      <w:r>
        <w:rPr>
          <w:rFonts w:hint="eastAsia" w:ascii="宋体" w:hAnsi="宋体" w:eastAsia="宋体" w:cs="Times New Roman"/>
          <w:sz w:val="24"/>
          <w:szCs w:val="24"/>
        </w:rPr>
        <w:t>民法的任务</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3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⑶</w:t>
      </w:r>
      <w:r>
        <w:rPr>
          <w:rFonts w:ascii="宋体" w:hAnsi="宋体" w:eastAsia="宋体" w:cs="Times New Roman"/>
          <w:sz w:val="24"/>
          <w:szCs w:val="24"/>
        </w:rPr>
        <w:fldChar w:fldCharType="end"/>
      </w:r>
      <w:r>
        <w:rPr>
          <w:rFonts w:hint="eastAsia" w:ascii="宋体" w:hAnsi="宋体" w:eastAsia="宋体" w:cs="Times New Roman"/>
          <w:sz w:val="24"/>
          <w:szCs w:val="24"/>
        </w:rPr>
        <w:t>民法的调整对象</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4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⑷</w:t>
      </w:r>
      <w:r>
        <w:rPr>
          <w:rFonts w:ascii="宋体" w:hAnsi="宋体" w:eastAsia="宋体" w:cs="Times New Roman"/>
          <w:sz w:val="24"/>
          <w:szCs w:val="24"/>
        </w:rPr>
        <w:fldChar w:fldCharType="end"/>
      </w:r>
      <w:r>
        <w:rPr>
          <w:rFonts w:hint="eastAsia" w:ascii="宋体" w:hAnsi="宋体" w:eastAsia="宋体" w:cs="Times New Roman"/>
          <w:sz w:val="24"/>
          <w:szCs w:val="24"/>
        </w:rPr>
        <w:t>民法与其它部门法的关系</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5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⑸</w:t>
      </w:r>
      <w:r>
        <w:rPr>
          <w:rFonts w:ascii="宋体" w:hAnsi="宋体" w:eastAsia="宋体" w:cs="Times New Roman"/>
          <w:sz w:val="24"/>
          <w:szCs w:val="24"/>
        </w:rPr>
        <w:fldChar w:fldCharType="end"/>
      </w:r>
      <w:r>
        <w:rPr>
          <w:rFonts w:hint="eastAsia" w:ascii="宋体" w:hAnsi="宋体" w:eastAsia="宋体" w:cs="Times New Roman"/>
          <w:sz w:val="24"/>
          <w:szCs w:val="24"/>
        </w:rPr>
        <w:t>民法的渊源</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6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⑹</w:t>
      </w:r>
      <w:r>
        <w:rPr>
          <w:rFonts w:ascii="宋体" w:hAnsi="宋体" w:eastAsia="宋体" w:cs="Times New Roman"/>
          <w:sz w:val="24"/>
          <w:szCs w:val="24"/>
        </w:rPr>
        <w:fldChar w:fldCharType="end"/>
      </w:r>
      <w:r>
        <w:rPr>
          <w:rFonts w:hint="eastAsia" w:ascii="黑体" w:hAnsi="黑体" w:eastAsia="黑体" w:cs="Times New Roman"/>
          <w:b/>
          <w:bCs/>
          <w:sz w:val="24"/>
          <w:szCs w:val="24"/>
        </w:rPr>
        <w:t>民法的基本原则</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7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⑺</w:t>
      </w:r>
      <w:r>
        <w:rPr>
          <w:rFonts w:ascii="宋体" w:hAnsi="宋体" w:eastAsia="宋体" w:cs="Times New Roman"/>
          <w:sz w:val="24"/>
          <w:szCs w:val="24"/>
        </w:rPr>
        <w:fldChar w:fldCharType="end"/>
      </w:r>
      <w:r>
        <w:rPr>
          <w:rFonts w:hint="eastAsia" w:ascii="宋体" w:hAnsi="宋体" w:eastAsia="宋体" w:cs="Times New Roman"/>
          <w:sz w:val="24"/>
          <w:szCs w:val="24"/>
        </w:rPr>
        <w:t>民法的适用</w:t>
      </w:r>
    </w:p>
    <w:p>
      <w:pPr>
        <w:spacing w:line="360" w:lineRule="exact"/>
        <w:ind w:firstLine="1200" w:firstLineChars="5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620" w:firstLine="0" w:firstLineChars="0"/>
        <w:rPr>
          <w:rFonts w:ascii="宋体" w:hAnsi="宋体" w:eastAsia="宋体" w:cs="宋体"/>
          <w:color w:val="FF0000"/>
          <w:kern w:val="0"/>
          <w:sz w:val="24"/>
        </w:rPr>
      </w:pPr>
      <w:r>
        <w:rPr>
          <w:rFonts w:ascii="宋体" w:hAnsi="宋体" w:eastAsia="宋体" w:cs="Times New Roman"/>
          <w:color w:val="FF0000"/>
          <w:sz w:val="24"/>
          <w:szCs w:val="24"/>
        </w:rPr>
        <w:fldChar w:fldCharType="begin"/>
      </w:r>
      <w:r>
        <w:rPr>
          <w:rFonts w:ascii="宋体" w:hAnsi="宋体" w:eastAsia="宋体" w:cs="Times New Roman"/>
          <w:color w:val="FF0000"/>
          <w:sz w:val="24"/>
          <w:szCs w:val="24"/>
        </w:rPr>
        <w:instrText xml:space="preserve"> </w:instrText>
      </w:r>
      <w:r>
        <w:rPr>
          <w:rFonts w:hint="eastAsia" w:ascii="宋体" w:hAnsi="宋体" w:eastAsia="宋体" w:cs="Times New Roman"/>
          <w:color w:val="FF0000"/>
          <w:sz w:val="24"/>
          <w:szCs w:val="24"/>
        </w:rPr>
        <w:instrText xml:space="preserve">= 1 \* GB2</w:instrText>
      </w:r>
      <w:r>
        <w:rPr>
          <w:rFonts w:ascii="宋体" w:hAnsi="宋体" w:eastAsia="宋体" w:cs="Times New Roman"/>
          <w:color w:val="FF0000"/>
          <w:sz w:val="24"/>
          <w:szCs w:val="24"/>
        </w:rPr>
        <w:instrText xml:space="preserve"> </w:instrText>
      </w:r>
      <w:r>
        <w:rPr>
          <w:rFonts w:ascii="宋体" w:hAnsi="宋体" w:eastAsia="宋体" w:cs="Times New Roman"/>
          <w:color w:val="FF0000"/>
          <w:sz w:val="24"/>
          <w:szCs w:val="24"/>
        </w:rPr>
        <w:fldChar w:fldCharType="separate"/>
      </w:r>
      <w:r>
        <w:rPr>
          <w:rFonts w:hint="eastAsia" w:ascii="宋体" w:hAnsi="宋体" w:eastAsia="宋体" w:cs="Times New Roman"/>
          <w:color w:val="FF0000"/>
          <w:sz w:val="24"/>
          <w:szCs w:val="24"/>
        </w:rPr>
        <w:t>⑴</w:t>
      </w:r>
      <w:r>
        <w:rPr>
          <w:rFonts w:ascii="宋体" w:hAnsi="宋体" w:eastAsia="宋体" w:cs="Times New Roman"/>
          <w:color w:val="FF0000"/>
          <w:sz w:val="24"/>
          <w:szCs w:val="24"/>
        </w:rPr>
        <w:fldChar w:fldCharType="end"/>
      </w:r>
      <w:r>
        <w:rPr>
          <w:rFonts w:hint="eastAsia" w:ascii="黑体" w:hAnsi="黑体" w:eastAsia="黑体" w:cs="Times New Roman"/>
          <w:color w:val="FF0000"/>
          <w:sz w:val="24"/>
          <w:szCs w:val="24"/>
        </w:rPr>
        <w:t>为什么</w:t>
      </w:r>
      <w:r>
        <w:rPr>
          <w:rFonts w:ascii="黑体" w:hAnsi="黑体" w:eastAsia="黑体" w:cs="宋体"/>
          <w:color w:val="FF0000"/>
          <w:kern w:val="0"/>
          <w:sz w:val="24"/>
        </w:rPr>
        <w:t>诚实信用原则是民法中的“帝王条款</w:t>
      </w:r>
      <w:r>
        <w:rPr>
          <w:rFonts w:hint="eastAsia" w:ascii="黑体" w:hAnsi="黑体" w:eastAsia="黑体" w:cs="宋体"/>
          <w:color w:val="FF0000"/>
          <w:kern w:val="0"/>
          <w:sz w:val="24"/>
        </w:rPr>
        <w:t>？结合中国传统文化思考诚信原则的具体运用</w:t>
      </w:r>
      <w:r>
        <w:rPr>
          <w:rFonts w:hint="eastAsia" w:ascii="宋体" w:hAnsi="宋体" w:eastAsia="宋体" w:cs="宋体"/>
          <w:color w:val="FF0000"/>
          <w:kern w:val="0"/>
          <w:sz w:val="24"/>
        </w:rPr>
        <w:t>。</w:t>
      </w:r>
    </w:p>
    <w:p>
      <w:pPr>
        <w:pStyle w:val="6"/>
        <w:spacing w:line="360" w:lineRule="exact"/>
        <w:ind w:left="1620" w:firstLine="0" w:firstLineChars="0"/>
        <w:rPr>
          <w:rFonts w:ascii="黑体" w:hAnsi="黑体" w:eastAsia="黑体" w:cs="Times New Roman"/>
          <w:color w:val="FF0000"/>
          <w:sz w:val="24"/>
          <w:szCs w:val="24"/>
        </w:rPr>
      </w:pPr>
      <w:r>
        <w:rPr>
          <w:rFonts w:ascii="黑体" w:hAnsi="黑体" w:eastAsia="黑体" w:cs="Times New Roman"/>
          <w:color w:val="FF0000"/>
          <w:sz w:val="24"/>
          <w:szCs w:val="24"/>
        </w:rPr>
        <w:fldChar w:fldCharType="begin"/>
      </w:r>
      <w:r>
        <w:rPr>
          <w:rFonts w:ascii="黑体" w:hAnsi="黑体" w:eastAsia="黑体" w:cs="Times New Roman"/>
          <w:color w:val="FF0000"/>
          <w:sz w:val="24"/>
          <w:szCs w:val="24"/>
        </w:rPr>
        <w:instrText xml:space="preserve"> </w:instrText>
      </w:r>
      <w:r>
        <w:rPr>
          <w:rFonts w:hint="eastAsia" w:ascii="黑体" w:hAnsi="黑体" w:eastAsia="黑体" w:cs="Times New Roman"/>
          <w:color w:val="FF0000"/>
          <w:sz w:val="24"/>
          <w:szCs w:val="24"/>
        </w:rPr>
        <w:instrText xml:space="preserve">= 2 \* GB2</w:instrText>
      </w:r>
      <w:r>
        <w:rPr>
          <w:rFonts w:ascii="黑体" w:hAnsi="黑体" w:eastAsia="黑体" w:cs="Times New Roman"/>
          <w:color w:val="FF0000"/>
          <w:sz w:val="24"/>
          <w:szCs w:val="24"/>
        </w:rPr>
        <w:instrText xml:space="preserve"> </w:instrText>
      </w:r>
      <w:r>
        <w:rPr>
          <w:rFonts w:ascii="黑体" w:hAnsi="黑体" w:eastAsia="黑体" w:cs="Times New Roman"/>
          <w:color w:val="FF0000"/>
          <w:sz w:val="24"/>
          <w:szCs w:val="24"/>
        </w:rPr>
        <w:fldChar w:fldCharType="separate"/>
      </w:r>
      <w:r>
        <w:rPr>
          <w:rFonts w:hint="eastAsia" w:ascii="黑体" w:hAnsi="黑体" w:eastAsia="黑体" w:cs="Times New Roman"/>
          <w:color w:val="FF0000"/>
          <w:sz w:val="24"/>
          <w:szCs w:val="24"/>
        </w:rPr>
        <w:t>⑵</w:t>
      </w:r>
      <w:r>
        <w:rPr>
          <w:rFonts w:ascii="黑体" w:hAnsi="黑体" w:eastAsia="黑体" w:cs="Times New Roman"/>
          <w:color w:val="FF0000"/>
          <w:sz w:val="24"/>
          <w:szCs w:val="24"/>
        </w:rPr>
        <w:fldChar w:fldCharType="end"/>
      </w:r>
      <w:r>
        <w:rPr>
          <w:rFonts w:hint="eastAsia" w:ascii="黑体" w:hAnsi="黑体" w:eastAsia="黑体" w:cs="Times New Roman"/>
          <w:color w:val="FF0000"/>
          <w:sz w:val="24"/>
          <w:szCs w:val="24"/>
        </w:rPr>
        <w:t>如何结合传统文化阐释公序良俗原则?</w:t>
      </w:r>
    </w:p>
    <w:p>
      <w:pPr>
        <w:spacing w:line="360" w:lineRule="exact"/>
        <w:rPr>
          <w:rFonts w:ascii="宋体" w:hAnsi="宋体" w:eastAsia="宋体" w:cs="Times New Roman"/>
          <w:sz w:val="24"/>
          <w:szCs w:val="24"/>
        </w:rPr>
      </w:pP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第二节 民事法律关系</w:t>
      </w:r>
    </w:p>
    <w:p>
      <w:pPr>
        <w:pStyle w:val="6"/>
        <w:numPr>
          <w:ilvl w:val="0"/>
          <w:numId w:val="5"/>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民事法律关系划分为人身法律关系和财产法律关系、绝对法律关系和相对法律关系型、单一法律关系和复合法律关系；民事法律关系要素包括民事法律主体、客体和内容；民事法律事实具有客观性法定性，可以分为自然事实和人的行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财产法律关系；人身法律关系；绝对法律关系；相对法律关系；民事法律关系主体；民事法律关系客体；民事法律事实。</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 xml:space="preserve">知识点： </w:t>
      </w:r>
    </w:p>
    <w:p>
      <w:pPr>
        <w:spacing w:line="360" w:lineRule="exact"/>
        <w:ind w:firstLine="1440" w:firstLineChars="600"/>
        <w:rPr>
          <w:rFonts w:ascii="宋体" w:hAnsi="宋体" w:eastAsia="宋体" w:cs="Times New Roman"/>
          <w:sz w:val="24"/>
          <w:szCs w:val="24"/>
        </w:rPr>
      </w:pPr>
      <w:r>
        <w:rPr>
          <w:rFonts w:hint="eastAsia" w:ascii="宋体" w:hAnsi="宋体" w:eastAsia="宋体" w:cs="Times New Roman"/>
          <w:sz w:val="24"/>
          <w:szCs w:val="24"/>
        </w:rPr>
        <w:t>⑴民事法律关系的概念与特征</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⑵民事法律关系的分类</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⑶民事法律关系的要素</w:t>
      </w:r>
    </w:p>
    <w:p>
      <w:pPr>
        <w:pStyle w:val="6"/>
        <w:spacing w:line="360" w:lineRule="exact"/>
        <w:ind w:left="1260" w:firstLine="240" w:firstLineChars="100"/>
        <w:rPr>
          <w:rFonts w:ascii="宋体" w:hAnsi="宋体" w:eastAsia="宋体" w:cs="Times New Roman"/>
          <w:sz w:val="24"/>
          <w:szCs w:val="24"/>
        </w:rPr>
      </w:pPr>
      <w:r>
        <w:rPr>
          <w:rFonts w:hint="eastAsia" w:ascii="宋体" w:hAnsi="宋体" w:eastAsia="宋体" w:cs="Times New Roman"/>
          <w:sz w:val="24"/>
          <w:szCs w:val="24"/>
        </w:rPr>
        <w:t>⑷民事法律关系的消灭</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⑴人身关系与财产关系的本质差别是什么？</w:t>
      </w:r>
    </w:p>
    <w:p>
      <w:pPr>
        <w:pStyle w:val="6"/>
        <w:spacing w:line="360" w:lineRule="exact"/>
        <w:ind w:left="1260" w:firstLine="0" w:firstLineChars="0"/>
        <w:rPr>
          <w:rFonts w:ascii="宋体" w:hAnsi="宋体" w:eastAsia="宋体" w:cs="Times New Roman"/>
          <w:b/>
          <w:color w:val="FF0000"/>
          <w:sz w:val="24"/>
          <w:szCs w:val="24"/>
        </w:rPr>
      </w:pPr>
      <w:r>
        <w:rPr>
          <w:rFonts w:hint="eastAsia" w:ascii="宋体" w:hAnsi="宋体" w:eastAsia="宋体" w:cs="Times New Roman"/>
          <w:b/>
          <w:color w:val="FF0000"/>
          <w:sz w:val="24"/>
          <w:szCs w:val="24"/>
        </w:rPr>
        <w:t>⑵结合我国社会主义制度及文化特征思考民法人身关系的理解。</w:t>
      </w:r>
    </w:p>
    <w:p>
      <w:pPr>
        <w:spacing w:line="360" w:lineRule="exact"/>
        <w:rPr>
          <w:rFonts w:ascii="宋体" w:hAnsi="宋体" w:eastAsia="宋体" w:cs="Times New Roman"/>
          <w:sz w:val="24"/>
          <w:szCs w:val="24"/>
        </w:rPr>
      </w:pP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第三节 民事权利</w:t>
      </w:r>
    </w:p>
    <w:p>
      <w:pPr>
        <w:pStyle w:val="6"/>
        <w:numPr>
          <w:ilvl w:val="0"/>
          <w:numId w:val="6"/>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民事权利具有以下特点：由民法所确认；</w:t>
      </w:r>
      <w:r>
        <w:rPr>
          <w:rFonts w:ascii="宋体" w:hAnsi="宋体" w:eastAsia="宋体" w:cs="Times New Roman"/>
          <w:sz w:val="24"/>
          <w:szCs w:val="24"/>
        </w:rPr>
        <w:t>以民事主体的利益为核心；体现为民事主体一定范围内的行为自由；</w:t>
      </w:r>
      <w:r>
        <w:rPr>
          <w:rFonts w:hint="eastAsia" w:ascii="宋体" w:hAnsi="宋体" w:eastAsia="宋体" w:cs="Times New Roman"/>
          <w:sz w:val="24"/>
          <w:szCs w:val="24"/>
        </w:rPr>
        <w:t>受到</w:t>
      </w:r>
      <w:r>
        <w:rPr>
          <w:rFonts w:ascii="宋体" w:hAnsi="宋体" w:eastAsia="宋体" w:cs="Times New Roman"/>
          <w:sz w:val="24"/>
          <w:szCs w:val="24"/>
        </w:rPr>
        <w:t>国家强制力的保障；具有平等性</w:t>
      </w:r>
      <w:r>
        <w:rPr>
          <w:rFonts w:hint="eastAsia" w:ascii="宋体" w:hAnsi="宋体" w:eastAsia="宋体" w:cs="Times New Roman"/>
          <w:sz w:val="24"/>
          <w:szCs w:val="24"/>
        </w:rPr>
        <w:t>。民事权利的分类有：财产权；非财产权；绝对权；相对权；支配权、请求权；形成权；抗辩权；既得权；期待权；专属权；非专属权；主权利；从权利等，民事权利取得包括原始取得与继受取得。民事权利的变更包括民事权利主体、内容等方面的变更；民事权利的救济包括自力救济与公力救济。</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财产权；非财产权；绝对权；相对权；支配权、请求权；形成权；抗辩权；既得权；期待权；专属权；非专属权；主权利；从权利；权利取得；自力救济；公力救济。</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知识点：</w:t>
      </w:r>
    </w:p>
    <w:p>
      <w:pPr>
        <w:pStyle w:val="6"/>
        <w:numPr>
          <w:ilvl w:val="0"/>
          <w:numId w:val="7"/>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权利的概念特点和分类</w:t>
      </w:r>
    </w:p>
    <w:p>
      <w:pPr>
        <w:pStyle w:val="6"/>
        <w:numPr>
          <w:ilvl w:val="0"/>
          <w:numId w:val="7"/>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权利的取得变更消灭</w:t>
      </w:r>
    </w:p>
    <w:p>
      <w:pPr>
        <w:pStyle w:val="6"/>
        <w:numPr>
          <w:ilvl w:val="0"/>
          <w:numId w:val="7"/>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民事权利的行使</w:t>
      </w:r>
    </w:p>
    <w:p>
      <w:pPr>
        <w:pStyle w:val="6"/>
        <w:spacing w:line="360" w:lineRule="exact"/>
        <w:ind w:left="240" w:firstLine="960" w:firstLineChars="400"/>
        <w:rPr>
          <w:rFonts w:ascii="宋体" w:hAnsi="宋体" w:eastAsia="宋体" w:cs="Times New Roman"/>
          <w:sz w:val="24"/>
          <w:szCs w:val="24"/>
        </w:rPr>
      </w:pPr>
      <w:r>
        <w:rPr>
          <w:rFonts w:hint="eastAsia" w:ascii="宋体" w:hAnsi="宋体" w:eastAsia="宋体" w:cs="Times New Roman"/>
          <w:sz w:val="24"/>
          <w:szCs w:val="24"/>
        </w:rPr>
        <w:t>⑷民事权利的救济</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b/>
          <w:color w:val="FF0000"/>
          <w:sz w:val="24"/>
          <w:szCs w:val="24"/>
        </w:rPr>
      </w:pPr>
      <w:r>
        <w:rPr>
          <w:rFonts w:hint="eastAsia" w:ascii="宋体" w:hAnsi="宋体" w:eastAsia="宋体" w:cs="Times New Roman"/>
          <w:b/>
          <w:color w:val="FF0000"/>
          <w:sz w:val="24"/>
          <w:szCs w:val="24"/>
        </w:rPr>
        <w:t>⑴结合我国社会主义制度的特点思考国家对权利的保障.</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⑵权利的本质是什么？根据权利的分类标准，思考民法体系的划分。</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第四节 民事义务与民事责任</w:t>
      </w:r>
    </w:p>
    <w:p>
      <w:pPr>
        <w:pStyle w:val="6"/>
        <w:numPr>
          <w:ilvl w:val="0"/>
          <w:numId w:val="8"/>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民事义务分为法定义务和约定义务、积极义务和消极义务；民事责任的分类有：财产与非财产责任；违约与侵权责任；单独与共同责任；按份与连带责任；过错责任、无过错责任、公平责任。民事责任的免责事由包括：不可抗力、紧急避险、正当防卫、自愿紧急救助行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积极义务；消极义务；财产责任；非财产责任；按份责任；连带责任；过错责任；无过错责任；公平责任；不可抗力；紧急避险；正当防卫。</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知识点：</w:t>
      </w:r>
    </w:p>
    <w:p>
      <w:pPr>
        <w:spacing w:line="360" w:lineRule="exact"/>
        <w:ind w:firstLine="1200" w:firstLineChars="500"/>
        <w:rPr>
          <w:rFonts w:ascii="宋体" w:hAnsi="宋体" w:eastAsia="宋体" w:cs="Times New Roman"/>
          <w:sz w:val="24"/>
          <w:szCs w:val="24"/>
        </w:rPr>
      </w:pPr>
      <w:r>
        <w:rPr>
          <w:rFonts w:hint="eastAsia" w:ascii="宋体" w:hAnsi="宋体" w:eastAsia="宋体" w:cs="Times New Roman"/>
          <w:sz w:val="24"/>
          <w:szCs w:val="24"/>
        </w:rPr>
        <w:t>⑴民事义务责任概述</w:t>
      </w:r>
    </w:p>
    <w:p>
      <w:pPr>
        <w:spacing w:line="360" w:lineRule="exact"/>
        <w:ind w:left="1260"/>
        <w:rPr>
          <w:rFonts w:ascii="宋体" w:hAnsi="宋体" w:eastAsia="宋体" w:cs="Times New Roman"/>
          <w:sz w:val="24"/>
          <w:szCs w:val="24"/>
        </w:rPr>
      </w:pPr>
      <w:r>
        <w:rPr>
          <w:rFonts w:hint="eastAsia" w:ascii="宋体" w:hAnsi="宋体" w:eastAsia="宋体" w:cs="Times New Roman"/>
          <w:sz w:val="24"/>
          <w:szCs w:val="24"/>
        </w:rPr>
        <w:t>⑵民事责任种类</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⑶民事责任免责事由</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⑴思考过错责任原则在民法中的地位.</w:t>
      </w:r>
    </w:p>
    <w:p>
      <w:pPr>
        <w:pStyle w:val="6"/>
        <w:spacing w:line="360" w:lineRule="exact"/>
        <w:ind w:left="1260" w:firstLine="0" w:firstLineChars="0"/>
        <w:rPr>
          <w:rFonts w:ascii="黑体" w:hAnsi="黑体" w:eastAsia="黑体" w:cs="Times New Roman"/>
          <w:color w:val="FF0000"/>
          <w:sz w:val="24"/>
          <w:szCs w:val="24"/>
        </w:rPr>
      </w:pPr>
      <w:r>
        <w:rPr>
          <w:rFonts w:hint="eastAsia" w:ascii="黑体" w:hAnsi="黑体" w:eastAsia="黑体" w:cs="Times New Roman"/>
          <w:color w:val="FF0000"/>
          <w:sz w:val="24"/>
          <w:szCs w:val="24"/>
        </w:rPr>
        <w:t>⑵如何结合我国传统道德规范进行过错责任的判断?</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第五节 民事主体</w:t>
      </w:r>
    </w:p>
    <w:p>
      <w:pPr>
        <w:pStyle w:val="6"/>
        <w:numPr>
          <w:ilvl w:val="0"/>
          <w:numId w:val="9"/>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自然人的民事权利能力与民事行为能力；监护制度；宣告失踪与宣告死亡制度；法人的概念特征以及分类；法人的能力、住所以及法人的机关；法人的在终止；非法人组织的特征与分类。</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民事权利能力；民事行为能力；监护；宣告失踪；宣告死亡；法人；法定代表人。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知识点</w:t>
      </w:r>
      <w:r>
        <w:rPr>
          <w:rFonts w:hint="eastAsia" w:ascii="宋体" w:hAnsi="宋体" w:eastAsia="宋体" w:cs="Times New Roman"/>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⑴自然人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⑵法人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⑶非法人组织</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⑴如何理解法人的人格？思考我国民法对法人的分类标准及其意义。</w:t>
      </w:r>
    </w:p>
    <w:p>
      <w:pPr>
        <w:pStyle w:val="6"/>
        <w:spacing w:line="360" w:lineRule="exact"/>
        <w:ind w:left="1260" w:firstLine="0" w:firstLineChars="0"/>
        <w:rPr>
          <w:rFonts w:ascii="黑体" w:hAnsi="黑体" w:eastAsia="黑体" w:cs="Times New Roman"/>
          <w:color w:val="FF0000"/>
          <w:sz w:val="24"/>
          <w:szCs w:val="24"/>
        </w:rPr>
      </w:pPr>
      <w:r>
        <w:rPr>
          <w:rFonts w:hint="eastAsia" w:ascii="黑体" w:hAnsi="黑体" w:eastAsia="黑体" w:cs="Times New Roman"/>
          <w:color w:val="FF0000"/>
          <w:sz w:val="24"/>
          <w:szCs w:val="24"/>
        </w:rPr>
        <w:t>⑵如何发挥捐助法人在社会公益事业中的作用.</w:t>
      </w:r>
    </w:p>
    <w:p>
      <w:pPr>
        <w:pStyle w:val="6"/>
        <w:spacing w:line="360" w:lineRule="exact"/>
        <w:ind w:left="1260" w:firstLine="0" w:firstLineChars="0"/>
        <w:rPr>
          <w:rFonts w:ascii="宋体" w:hAnsi="宋体" w:eastAsia="宋体" w:cs="Times New Roman"/>
          <w:sz w:val="24"/>
          <w:szCs w:val="24"/>
        </w:rPr>
      </w:pP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第六节 民事法律行为</w:t>
      </w:r>
    </w:p>
    <w:p>
      <w:pPr>
        <w:pStyle w:val="6"/>
        <w:numPr>
          <w:ilvl w:val="0"/>
          <w:numId w:val="10"/>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民事法律行为是民事主体实施的以发生民事法律后果为目的的行为；</w:t>
      </w:r>
      <w:r>
        <w:rPr>
          <w:rFonts w:ascii="宋体" w:hAnsi="宋体" w:eastAsia="宋体" w:cs="Times New Roman"/>
          <w:sz w:val="24"/>
          <w:szCs w:val="24"/>
        </w:rPr>
        <w:t>通过意思表示而实施的行为</w:t>
      </w:r>
      <w:r>
        <w:rPr>
          <w:rFonts w:hint="eastAsia" w:ascii="宋体" w:hAnsi="宋体" w:eastAsia="宋体" w:cs="Times New Roman"/>
          <w:sz w:val="24"/>
          <w:szCs w:val="24"/>
        </w:rPr>
        <w:t>；</w:t>
      </w:r>
      <w:r>
        <w:rPr>
          <w:rFonts w:ascii="宋体" w:hAnsi="宋体" w:eastAsia="宋体" w:cs="Times New Roman"/>
          <w:sz w:val="24"/>
          <w:szCs w:val="24"/>
        </w:rPr>
        <w:t>是能够产生当事人预期的法律效果的行为</w:t>
      </w:r>
      <w:r>
        <w:rPr>
          <w:rFonts w:hint="eastAsia" w:ascii="宋体" w:hAnsi="宋体" w:eastAsia="宋体" w:cs="Times New Roman"/>
          <w:sz w:val="24"/>
          <w:szCs w:val="24"/>
        </w:rPr>
        <w:t>；民事法律行为分为单方行为、双方行为、多方行为；意思表示划分为有相对人的意思表述和无相对人的意思表示；民事法律行为的成立是指民事法律行为已经具备了成立要件而客观存在；民事法律行为的生效，是指已经成立的法律行为因符合法定的生效要件，</w:t>
      </w:r>
      <w:r>
        <w:rPr>
          <w:rFonts w:ascii="宋体" w:hAnsi="宋体" w:eastAsia="宋体" w:cs="Times New Roman"/>
          <w:sz w:val="24"/>
          <w:szCs w:val="24"/>
        </w:rPr>
        <w:t>从而能产生法律上的拘束力</w:t>
      </w:r>
      <w:r>
        <w:rPr>
          <w:rFonts w:hint="eastAsia" w:ascii="宋体" w:hAnsi="宋体" w:eastAsia="宋体" w:cs="Times New Roman"/>
          <w:sz w:val="24"/>
          <w:szCs w:val="24"/>
        </w:rPr>
        <w:t>；效力待定的民事法律行为，是指民事法律行为成立之后，是否能发生效力尚不能确定，有待于其他行为或事实使之确定的民事法律行为；无效民事法律行为，是指虽然已经成立，但因其在内容上违反了法律、行政法规的强制性规定或公序良俗而应当被宣告无效的民事法律行为；可撤销的民事法律行为，又称可撤销民事法律行为，是指当事人在从事民事法律行为时，因意思表示不真实，法律允许撤销权人通过行使撤销权而使该已经生效的民事法律行为归于无效；附条件的民事法律行为，是指当事人在法律行为中特别规定一定的条件，以条件的是否成就来决定法律行为效力的发生或消灭的法律行为；附期限的民事法律行为，是指当事人在法律行为中设定一定的期限，并将期限的到来作为民事法律行为效力发生或消灭根据的民事法律行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概念</w:t>
      </w:r>
      <w:r>
        <w:rPr>
          <w:rFonts w:hint="eastAsia" w:ascii="宋体" w:hAnsi="宋体" w:eastAsia="宋体" w:cs="Times New Roman"/>
          <w:sz w:val="24"/>
          <w:szCs w:val="24"/>
        </w:rPr>
        <w:t>：</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民事法律行为；意思表示；无效民事法律行为；</w:t>
      </w:r>
      <w:bookmarkStart w:id="1" w:name="_Hlk59288276"/>
      <w:r>
        <w:rPr>
          <w:rFonts w:hint="eastAsia" w:ascii="宋体" w:hAnsi="宋体" w:eastAsia="宋体" w:cs="Times New Roman"/>
          <w:sz w:val="24"/>
          <w:szCs w:val="24"/>
        </w:rPr>
        <w:t>效力待定民事法律行</w:t>
      </w:r>
      <w:bookmarkEnd w:id="1"/>
      <w:r>
        <w:rPr>
          <w:rFonts w:hint="eastAsia" w:ascii="宋体" w:hAnsi="宋体" w:eastAsia="宋体" w:cs="Times New Roman"/>
          <w:sz w:val="24"/>
          <w:szCs w:val="24"/>
        </w:rPr>
        <w:t>为；可撤销民事法律行为；</w:t>
      </w:r>
      <w:bookmarkStart w:id="2" w:name="_Hlk59288462"/>
      <w:r>
        <w:rPr>
          <w:rFonts w:hint="eastAsia" w:ascii="宋体" w:hAnsi="宋体" w:eastAsia="宋体" w:cs="Times New Roman"/>
          <w:sz w:val="24"/>
          <w:szCs w:val="24"/>
        </w:rPr>
        <w:t>附条件民事法律行为；附期限民事法律行为。</w:t>
      </w:r>
    </w:p>
    <w:bookmarkEnd w:id="2"/>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知识点</w:t>
      </w:r>
      <w:r>
        <w:rPr>
          <w:rFonts w:hint="eastAsia" w:ascii="宋体" w:hAnsi="宋体" w:eastAsia="宋体" w:cs="Times New Roman"/>
          <w:sz w:val="24"/>
          <w:szCs w:val="24"/>
        </w:rPr>
        <w:t>：</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民事法律行为的概念特征和分类</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意思表示</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民事法律行为的成立和生效</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效力待定民事法律行</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无效民事法律行为</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可撤销民事法律行为</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民事法律行为被宣告无效被撤销</w:t>
      </w:r>
    </w:p>
    <w:p>
      <w:pPr>
        <w:pStyle w:val="6"/>
        <w:numPr>
          <w:ilvl w:val="1"/>
          <w:numId w:val="11"/>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附条件附期限民事法律行为。</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b/>
          <w:color w:val="FF0000"/>
          <w:sz w:val="24"/>
          <w:szCs w:val="24"/>
        </w:rPr>
      </w:pPr>
      <w:r>
        <w:rPr>
          <w:rFonts w:hint="eastAsia" w:ascii="宋体" w:hAnsi="宋体" w:eastAsia="宋体" w:cs="Times New Roman"/>
          <w:b/>
          <w:color w:val="FF0000"/>
          <w:sz w:val="24"/>
          <w:szCs w:val="24"/>
        </w:rPr>
        <w:t>(1)社会主义价值观下的公序良俗原则如何与以意思自治为核心的民事法律行为概念协调?</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(2)民事法律行为的效力来源是什么？比较民事法律行为与事实行为，以及不同类型的民事法律行为。</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第七节 代理</w:t>
      </w:r>
    </w:p>
    <w:p>
      <w:pPr>
        <w:pStyle w:val="6"/>
        <w:numPr>
          <w:ilvl w:val="0"/>
          <w:numId w:val="12"/>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代理，是指代理人以被代理人名义实施的，其法律效果直接归属于被代理人的行为；代理分类有：委托代理、法定代理，直接代理和间接代理，本代理和复代理；代理人应当依据法律规定和诚信原则正当行使其代理权，</w:t>
      </w:r>
      <w:r>
        <w:rPr>
          <w:rFonts w:ascii="宋体" w:hAnsi="宋体" w:eastAsia="宋体" w:cs="Times New Roman"/>
          <w:sz w:val="24"/>
          <w:szCs w:val="24"/>
        </w:rPr>
        <w:t xml:space="preserve"> 不得</w:t>
      </w:r>
      <w:r>
        <w:rPr>
          <w:rFonts w:hint="eastAsia" w:ascii="宋体" w:hAnsi="宋体" w:eastAsia="宋体" w:cs="Times New Roman"/>
          <w:sz w:val="24"/>
          <w:szCs w:val="24"/>
        </w:rPr>
        <w:t>从事自己代理、双方代理行为；无权代理，是指代理人在从事代理行为时未获得代理权。表见代理属于无权代理的一种，表见代理行为有效。委托代理关系消灭的原因有：代理期间届满或者代理事务完成；被代理人取消委托或者代理人辞去委托；代理人丧失民事行为能力；代理人或者被代理人死亡；作为代理人或者被代理人的法人、非法人组织终止。法定代理关系的消灭原因有：被代理人取得或者恢复完全民事行为能力；代理人丧失民事行为能力；代理人或者被代理人死亡；法律规定的其他情形。</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2</w:t>
      </w:r>
      <w:r>
        <w:rPr>
          <w:rFonts w:ascii="宋体" w:hAnsi="宋体" w:eastAsia="宋体" w:cs="Times New Roman"/>
          <w:b/>
          <w:bCs/>
          <w:sz w:val="24"/>
          <w:szCs w:val="24"/>
        </w:rPr>
        <w:t>.</w:t>
      </w:r>
      <w:r>
        <w:rPr>
          <w:rFonts w:hint="eastAsia" w:ascii="宋体" w:hAnsi="宋体" w:eastAsia="宋体" w:cs="Times New Roman"/>
          <w:b/>
          <w:bCs/>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代理权；直接代理；间接代理；委托代理；法定代理；本代理；复代理；无权代理；表见代理</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知识点：</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1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⑴</w:t>
      </w:r>
      <w:r>
        <w:rPr>
          <w:rFonts w:ascii="宋体" w:hAnsi="宋体" w:eastAsia="宋体" w:cs="Times New Roman"/>
          <w:sz w:val="24"/>
          <w:szCs w:val="24"/>
        </w:rPr>
        <w:fldChar w:fldCharType="end"/>
      </w:r>
      <w:r>
        <w:rPr>
          <w:rFonts w:hint="eastAsia" w:ascii="宋体" w:hAnsi="宋体" w:eastAsia="宋体" w:cs="Times New Roman"/>
          <w:sz w:val="24"/>
          <w:szCs w:val="24"/>
        </w:rPr>
        <w:t>代理概念和法律特征</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2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⑵</w:t>
      </w:r>
      <w:r>
        <w:rPr>
          <w:rFonts w:ascii="宋体" w:hAnsi="宋体" w:eastAsia="宋体" w:cs="Times New Roman"/>
          <w:sz w:val="24"/>
          <w:szCs w:val="24"/>
        </w:rPr>
        <w:fldChar w:fldCharType="end"/>
      </w:r>
      <w:r>
        <w:rPr>
          <w:rFonts w:hint="eastAsia" w:ascii="宋体" w:hAnsi="宋体" w:eastAsia="宋体" w:cs="Times New Roman"/>
          <w:sz w:val="24"/>
          <w:szCs w:val="24"/>
        </w:rPr>
        <w:t>代理的种类</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3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⑶</w:t>
      </w:r>
      <w:r>
        <w:rPr>
          <w:rFonts w:ascii="宋体" w:hAnsi="宋体" w:eastAsia="宋体" w:cs="Times New Roman"/>
          <w:sz w:val="24"/>
          <w:szCs w:val="24"/>
        </w:rPr>
        <w:fldChar w:fldCharType="end"/>
      </w:r>
      <w:r>
        <w:rPr>
          <w:rFonts w:hint="eastAsia" w:ascii="宋体" w:hAnsi="宋体" w:eastAsia="宋体" w:cs="Times New Roman"/>
          <w:sz w:val="24"/>
          <w:szCs w:val="24"/>
        </w:rPr>
        <w:t>代理权的行使</w:t>
      </w:r>
    </w:p>
    <w:p>
      <w:pPr>
        <w:pStyle w:val="6"/>
        <w:numPr>
          <w:ilvl w:val="0"/>
          <w:numId w:val="7"/>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无权代理</w:t>
      </w:r>
    </w:p>
    <w:p>
      <w:pPr>
        <w:pStyle w:val="6"/>
        <w:numPr>
          <w:ilvl w:val="0"/>
          <w:numId w:val="7"/>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表见代理</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⑹代理关系的终止</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3</w:t>
      </w:r>
      <w:r>
        <w:rPr>
          <w:rFonts w:ascii="宋体" w:hAnsi="宋体" w:eastAsia="宋体" w:cs="Times New Roman"/>
          <w:b/>
          <w:bCs/>
          <w:sz w:val="24"/>
          <w:szCs w:val="24"/>
        </w:rPr>
        <w:t>.</w:t>
      </w:r>
      <w:r>
        <w:rPr>
          <w:rFonts w:hint="eastAsia" w:ascii="宋体" w:hAnsi="宋体" w:eastAsia="宋体" w:cs="Times New Roman"/>
          <w:sz w:val="24"/>
          <w:szCs w:val="24"/>
        </w:rPr>
        <w:t>问题与应用</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⑴委托与代理的本质区别是什么？比较直接代理与间接代理的关系；思考无权代理的类型及法律效果。</w:t>
      </w:r>
    </w:p>
    <w:p>
      <w:pPr>
        <w:pStyle w:val="6"/>
        <w:spacing w:line="360" w:lineRule="exact"/>
        <w:ind w:left="1260" w:firstLine="0" w:firstLineChars="0"/>
        <w:rPr>
          <w:rFonts w:ascii="宋体" w:hAnsi="宋体" w:eastAsia="宋体" w:cs="Times New Roman"/>
          <w:b/>
          <w:color w:val="FF0000"/>
          <w:sz w:val="24"/>
          <w:szCs w:val="24"/>
        </w:rPr>
      </w:pPr>
      <w:r>
        <w:rPr>
          <w:rFonts w:hint="eastAsia" w:ascii="宋体" w:hAnsi="宋体" w:eastAsia="宋体" w:cs="Times New Roman"/>
          <w:b/>
          <w:color w:val="FF0000"/>
          <w:sz w:val="24"/>
          <w:szCs w:val="24"/>
        </w:rPr>
        <w:t>⑵思考代理制度的设计怎样增进信任,进而有利于社会和谐?</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第八节 时效</w:t>
      </w:r>
    </w:p>
    <w:p>
      <w:pPr>
        <w:pStyle w:val="6"/>
        <w:numPr>
          <w:ilvl w:val="0"/>
          <w:numId w:val="13"/>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主要内容</w:t>
      </w:r>
    </w:p>
    <w:p>
      <w:pPr>
        <w:pStyle w:val="6"/>
        <w:spacing w:line="360" w:lineRule="exact"/>
        <w:ind w:left="1620" w:firstLine="0" w:firstLineChars="0"/>
        <w:rPr>
          <w:rFonts w:ascii="宋体" w:hAnsi="宋体" w:eastAsia="宋体" w:cs="Times New Roman"/>
          <w:sz w:val="24"/>
          <w:szCs w:val="24"/>
        </w:rPr>
      </w:pPr>
      <w:r>
        <w:rPr>
          <w:rFonts w:hint="eastAsia" w:ascii="宋体" w:hAnsi="宋体" w:eastAsia="宋体" w:cs="Times New Roman"/>
          <w:sz w:val="24"/>
          <w:szCs w:val="24"/>
        </w:rPr>
        <w:t>时效制度分为取得时效和消灭时效；诉讼时效，是指权利人在法定期间内不行使权利即导致义务人有权提出拒绝履行的抗辩权的法律制度；诉讼时效制度分为：普通诉讼时效、</w:t>
      </w:r>
      <w:r>
        <w:rPr>
          <w:rFonts w:ascii="宋体" w:hAnsi="宋体" w:eastAsia="宋体" w:cs="Times New Roman"/>
          <w:sz w:val="24"/>
          <w:szCs w:val="24"/>
        </w:rPr>
        <w:t>特别诉讼时效</w:t>
      </w:r>
      <w:r>
        <w:rPr>
          <w:rFonts w:hint="eastAsia" w:ascii="宋体" w:hAnsi="宋体" w:eastAsia="宋体" w:cs="Times New Roman"/>
          <w:sz w:val="24"/>
          <w:szCs w:val="24"/>
        </w:rPr>
        <w:t>、最长诉讼时效；诉讼时效主要适用于债权请求权；诉讼时效的中断，是指诉讼时效进行中因法定事由的发生，使已进行的期间全部归于无效，诉讼时效重新起算；诉讼时效的中止，是指在诉讼时效期间进行中，因发生一定的法定事由使权利人不能行使请求权，从而暂时停止计算诉讼时效期间；诉讼时效的延长，是指在诉讼时效期间届满以后，权利人基于某种正当理由，而要求人民法院根据具体情况延长时效期间，经人民法院依职权决定延长的制度。除斥期间是撤销权、解除权等权利的存续期间，是不变期间。</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基本概念和知识点</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概念：</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诉讼时效；时效中断；时效中止；时效延长；除斥期间</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sz w:val="24"/>
          <w:szCs w:val="24"/>
        </w:rPr>
        <w:t>知识点：</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1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⑴</w:t>
      </w:r>
      <w:r>
        <w:rPr>
          <w:rFonts w:ascii="宋体" w:hAnsi="宋体" w:eastAsia="宋体" w:cs="Times New Roman"/>
          <w:sz w:val="24"/>
          <w:szCs w:val="24"/>
        </w:rPr>
        <w:fldChar w:fldCharType="end"/>
      </w:r>
      <w:r>
        <w:rPr>
          <w:rFonts w:hint="eastAsia" w:ascii="宋体" w:hAnsi="宋体" w:eastAsia="宋体" w:cs="Times New Roman"/>
          <w:sz w:val="24"/>
          <w:szCs w:val="24"/>
        </w:rPr>
        <w:t>诉讼时效概述</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2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⑵</w:t>
      </w:r>
      <w:r>
        <w:rPr>
          <w:rFonts w:ascii="宋体" w:hAnsi="宋体" w:eastAsia="宋体" w:cs="Times New Roman"/>
          <w:sz w:val="24"/>
          <w:szCs w:val="24"/>
        </w:rPr>
        <w:fldChar w:fldCharType="end"/>
      </w:r>
      <w:r>
        <w:rPr>
          <w:rFonts w:hint="eastAsia" w:ascii="宋体" w:hAnsi="宋体" w:eastAsia="宋体" w:cs="Times New Roman"/>
          <w:sz w:val="24"/>
          <w:szCs w:val="24"/>
        </w:rPr>
        <w:t>诉讼时效</w:t>
      </w:r>
    </w:p>
    <w:p>
      <w:pPr>
        <w:pStyle w:val="6"/>
        <w:spacing w:line="360" w:lineRule="exact"/>
        <w:ind w:left="1260" w:firstLine="0" w:firstLineChars="0"/>
        <w:rPr>
          <w:rFonts w:ascii="宋体" w:hAnsi="宋体"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 3 \* GB2</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⑶</w:t>
      </w:r>
      <w:r>
        <w:rPr>
          <w:rFonts w:ascii="宋体" w:hAnsi="宋体" w:eastAsia="宋体" w:cs="Times New Roman"/>
          <w:sz w:val="24"/>
          <w:szCs w:val="24"/>
        </w:rPr>
        <w:fldChar w:fldCharType="end"/>
      </w:r>
      <w:r>
        <w:rPr>
          <w:rFonts w:hint="eastAsia" w:ascii="宋体" w:hAnsi="宋体" w:eastAsia="宋体" w:cs="Times New Roman"/>
          <w:sz w:val="24"/>
          <w:szCs w:val="24"/>
        </w:rPr>
        <w:t>除斥期间</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b/>
          <w:bCs/>
          <w:sz w:val="24"/>
          <w:szCs w:val="24"/>
        </w:rPr>
        <w:t>3</w:t>
      </w:r>
      <w:r>
        <w:rPr>
          <w:rFonts w:ascii="宋体" w:hAnsi="宋体" w:eastAsia="宋体" w:cs="Times New Roman"/>
          <w:b/>
          <w:bCs/>
          <w:sz w:val="24"/>
          <w:szCs w:val="24"/>
        </w:rPr>
        <w:t>.</w:t>
      </w:r>
      <w:r>
        <w:rPr>
          <w:rFonts w:hint="eastAsia" w:ascii="宋体" w:hAnsi="宋体" w:eastAsia="宋体" w:cs="Times New Roman"/>
          <w:b/>
          <w:bCs/>
          <w:sz w:val="24"/>
          <w:szCs w:val="24"/>
        </w:rPr>
        <w:t>问题与应用</w:t>
      </w:r>
    </w:p>
    <w:p>
      <w:pPr>
        <w:pStyle w:val="6"/>
        <w:spacing w:line="360" w:lineRule="exact"/>
        <w:ind w:left="1260" w:firstLine="0" w:firstLineChars="0"/>
        <w:rPr>
          <w:rFonts w:ascii="宋体" w:hAnsi="宋体" w:eastAsia="宋体" w:cs="Times New Roman"/>
          <w:b/>
          <w:bCs/>
          <w:sz w:val="24"/>
          <w:szCs w:val="24"/>
        </w:rPr>
      </w:pPr>
      <w:r>
        <w:rPr>
          <w:rFonts w:hint="eastAsia" w:ascii="宋体" w:hAnsi="宋体" w:eastAsia="宋体" w:cs="Times New Roman"/>
          <w:sz w:val="24"/>
          <w:szCs w:val="24"/>
        </w:rPr>
        <w:t>⑴诉讼时效的功能是什么？比较诉讼时效制度的适用范围</w:t>
      </w:r>
      <w:r>
        <w:rPr>
          <w:rFonts w:hint="eastAsia" w:ascii="宋体" w:hAnsi="宋体" w:eastAsia="宋体" w:cs="Times New Roman"/>
          <w:b/>
          <w:bCs/>
          <w:sz w:val="24"/>
          <w:szCs w:val="24"/>
        </w:rPr>
        <w:t>。</w:t>
      </w:r>
    </w:p>
    <w:p>
      <w:pPr>
        <w:pStyle w:val="6"/>
        <w:spacing w:line="360" w:lineRule="exact"/>
        <w:ind w:left="1260" w:firstLine="0" w:firstLineChars="0"/>
        <w:rPr>
          <w:rFonts w:ascii="宋体" w:hAnsi="宋体" w:eastAsia="宋体" w:cs="Times New Roman"/>
          <w:b/>
          <w:bCs/>
          <w:color w:val="FF0000"/>
          <w:sz w:val="24"/>
          <w:szCs w:val="24"/>
        </w:rPr>
      </w:pPr>
      <w:r>
        <w:rPr>
          <w:rFonts w:hint="eastAsia" w:ascii="宋体" w:hAnsi="宋体" w:eastAsia="宋体" w:cs="Times New Roman"/>
          <w:b/>
          <w:bCs/>
          <w:color w:val="FF0000"/>
          <w:sz w:val="24"/>
          <w:szCs w:val="24"/>
        </w:rPr>
        <w:t>⑵在构建和谐社会过程中,怎样化解时效制度对民事关系的负面影响?</w:t>
      </w:r>
    </w:p>
    <w:p>
      <w:pPr>
        <w:pStyle w:val="6"/>
        <w:numPr>
          <w:ilvl w:val="0"/>
          <w:numId w:val="3"/>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思考与实践</w:t>
      </w:r>
    </w:p>
    <w:p>
      <w:pPr>
        <w:pStyle w:val="6"/>
        <w:spacing w:line="360" w:lineRule="exact"/>
        <w:ind w:left="1260" w:firstLine="0" w:firstLineChars="0"/>
        <w:rPr>
          <w:rFonts w:ascii="宋体" w:hAnsi="宋体" w:eastAsia="宋体" w:cs="Times New Roman"/>
          <w:color w:val="FF0000"/>
          <w:sz w:val="24"/>
          <w:szCs w:val="24"/>
        </w:rPr>
      </w:pPr>
      <w:r>
        <w:rPr>
          <w:rFonts w:hint="eastAsia" w:ascii="宋体" w:hAnsi="宋体" w:eastAsia="宋体" w:cs="Times New Roman"/>
          <w:b/>
          <w:bCs/>
          <w:sz w:val="24"/>
          <w:szCs w:val="24"/>
        </w:rPr>
        <w:t>思考</w:t>
      </w:r>
      <w:r>
        <w:rPr>
          <w:rFonts w:hint="eastAsia" w:ascii="宋体" w:hAnsi="宋体" w:eastAsia="宋体" w:cs="Times New Roman"/>
          <w:sz w:val="24"/>
          <w:szCs w:val="24"/>
        </w:rPr>
        <w:t>：结合民法中的抽象人格平等、契约自由、个人财产所有权绝对、过错责任原则、所有权限制、合同自由限制、归责原则多元、人权制度勃兴、交易规则国际化;</w:t>
      </w:r>
      <w:r>
        <w:rPr>
          <w:rFonts w:hint="eastAsia" w:ascii="宋体" w:hAnsi="宋体" w:eastAsia="宋体" w:cs="Times New Roman"/>
          <w:b/>
          <w:color w:val="FF0000"/>
          <w:sz w:val="24"/>
          <w:szCs w:val="24"/>
        </w:rPr>
        <w:t>思考民法注重对弱势群体保护等制度与我国社会主义制度的关系; 思考民法从权利本位向社会本位的发展趋势过程中,与我国社会主义制度的相应性。</w:t>
      </w:r>
    </w:p>
    <w:p>
      <w:pPr>
        <w:pStyle w:val="6"/>
        <w:spacing w:line="360" w:lineRule="exact"/>
        <w:ind w:left="1260" w:firstLine="0" w:firstLineChars="0"/>
        <w:rPr>
          <w:rFonts w:ascii="宋体" w:hAnsi="宋体" w:eastAsia="宋体" w:cs="Times New Roman"/>
          <w:sz w:val="24"/>
          <w:szCs w:val="24"/>
        </w:rPr>
      </w:pPr>
      <w:r>
        <w:rPr>
          <w:rFonts w:hint="eastAsia" w:ascii="宋体" w:hAnsi="宋体" w:eastAsia="宋体" w:cs="Times New Roman"/>
          <w:b/>
          <w:bCs/>
          <w:sz w:val="24"/>
          <w:szCs w:val="24"/>
        </w:rPr>
        <w:t>实践</w:t>
      </w:r>
      <w:r>
        <w:rPr>
          <w:rFonts w:hint="eastAsia" w:ascii="宋体" w:hAnsi="宋体" w:eastAsia="宋体" w:cs="Times New Roman"/>
          <w:sz w:val="24"/>
          <w:szCs w:val="24"/>
        </w:rPr>
        <w:t>：准确掌握民法概念；娴熟地运用类型化和体系化的研究方法；重视运用逻辑的方法；掌握法律解释的方法；注重借鉴经济学、社会学、哲学、历史学、心理学等其他社会科学的研究方法。</w:t>
      </w:r>
    </w:p>
    <w:p>
      <w:pPr>
        <w:pStyle w:val="6"/>
        <w:numPr>
          <w:ilvl w:val="0"/>
          <w:numId w:val="3"/>
        </w:numPr>
        <w:spacing w:line="360" w:lineRule="exact"/>
        <w:ind w:firstLineChars="0"/>
        <w:rPr>
          <w:rFonts w:ascii="宋体" w:hAnsi="宋体" w:eastAsia="宋体" w:cs="Times New Roman"/>
          <w:sz w:val="24"/>
          <w:szCs w:val="24"/>
        </w:rPr>
      </w:pPr>
      <w:r>
        <w:rPr>
          <w:rFonts w:hint="eastAsia" w:ascii="宋体" w:hAnsi="宋体" w:eastAsia="宋体" w:cs="Times New Roman"/>
          <w:sz w:val="24"/>
          <w:szCs w:val="24"/>
        </w:rPr>
        <w:t>教学方法与手段</w:t>
      </w:r>
    </w:p>
    <w:p>
      <w:pPr>
        <w:pStyle w:val="6"/>
        <w:tabs>
          <w:tab w:val="left" w:pos="0"/>
        </w:tabs>
        <w:spacing w:line="360" w:lineRule="exact"/>
        <w:ind w:left="1260"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本章教学主要采用的方法和手段有课堂讲授、网络辅助教学、分组讨论、课堂讨论等。</w:t>
      </w:r>
    </w:p>
    <w:p>
      <w:pPr>
        <w:spacing w:line="360" w:lineRule="exact"/>
        <w:rPr>
          <w:rFonts w:ascii="黑体" w:hAnsi="Times New Roman" w:eastAsia="黑体" w:cs="Times New Roman"/>
          <w:sz w:val="24"/>
          <w:szCs w:val="24"/>
        </w:rPr>
      </w:pPr>
    </w:p>
    <w:p>
      <w:pPr>
        <w:spacing w:line="360" w:lineRule="exact"/>
        <w:rPr>
          <w:rFonts w:ascii="黑体" w:hAnsi="Times New Roman" w:eastAsia="黑体" w:cs="Times New Roman"/>
          <w:color w:val="FF0000"/>
          <w:sz w:val="24"/>
          <w:szCs w:val="24"/>
        </w:rPr>
      </w:pPr>
      <w:r>
        <w:rPr>
          <w:rFonts w:hint="eastAsia" w:ascii="黑体" w:hAnsi="Times New Roman" w:eastAsia="黑体" w:cs="Times New Roman"/>
          <w:sz w:val="24"/>
          <w:szCs w:val="24"/>
        </w:rPr>
        <w:t>五、各教学环节学时分配</w:t>
      </w:r>
    </w:p>
    <w:tbl>
      <w:tblPr>
        <w:tblStyle w:val="4"/>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835"/>
        <w:gridCol w:w="835"/>
        <w:gridCol w:w="835"/>
        <w:gridCol w:w="835"/>
        <w:gridCol w:w="835"/>
        <w:gridCol w:w="8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22" w:type="dxa"/>
          </w:tcPr>
          <w:p>
            <w:pPr>
              <w:ind w:firstLine="1857" w:firstLineChars="925"/>
              <w:rPr>
                <w:rFonts w:ascii="Times New Roman" w:hAnsi="Times New Roman" w:eastAsia="宋体" w:cs="Times New Roman"/>
                <w:b/>
                <w:szCs w:val="24"/>
              </w:rPr>
            </w:pPr>
            <w:r>
              <w:rPr>
                <w:rFonts w:ascii="Times New Roman" w:hAnsi="Times New Roman" w:eastAsia="宋体" w:cs="Times New Roman"/>
                <w:b/>
                <w:sz w:val="20"/>
                <w:szCs w:val="24"/>
              </w:rPr>
              <w:pict>
                <v:line id="直接连接符 2" o:spid="_x0000_s1026" o:spt="20" style="position:absolute;left:0pt;flip:x y;margin-left:47.6pt;margin-top:-0.5pt;height:78pt;width:99.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">
                  <v:path arrowok="t"/>
                  <v:fill focussize="0,0"/>
                  <v:stroke/>
                  <v:imagedata o:title=""/>
                  <o:lock v:ext="edit"/>
                </v:line>
              </w:pict>
            </w:r>
            <w:r>
              <w:rPr>
                <w:rFonts w:hint="eastAsia" w:ascii="Times New Roman" w:hAnsi="Times New Roman" w:eastAsia="宋体" w:cs="Times New Roman"/>
                <w:b/>
                <w:szCs w:val="24"/>
              </w:rPr>
              <w:t>教学环节</w:t>
            </w:r>
          </w:p>
          <w:p>
            <w:pPr>
              <w:ind w:firstLine="843" w:firstLineChars="400"/>
              <w:jc w:val="center"/>
              <w:rPr>
                <w:rFonts w:ascii="Times New Roman" w:hAnsi="Times New Roman" w:eastAsia="宋体" w:cs="Times New Roman"/>
                <w:b/>
                <w:szCs w:val="24"/>
              </w:rPr>
            </w:pPr>
          </w:p>
          <w:p>
            <w:pPr>
              <w:ind w:left="359" w:leftChars="171" w:firstLine="422" w:firstLineChars="200"/>
              <w:rPr>
                <w:rFonts w:ascii="Times New Roman" w:hAnsi="Times New Roman" w:eastAsia="宋体" w:cs="Times New Roman"/>
                <w:b/>
                <w:szCs w:val="24"/>
              </w:rPr>
            </w:pPr>
            <w:r>
              <w:rPr>
                <w:rFonts w:hint="eastAsia" w:ascii="Times New Roman" w:hAnsi="Times New Roman" w:eastAsia="宋体" w:cs="Times New Roman"/>
                <w:b/>
                <w:szCs w:val="24"/>
              </w:rPr>
              <w:t>教学时数</w:t>
            </w:r>
          </w:p>
          <w:p>
            <w:pPr>
              <w:ind w:left="359" w:leftChars="171" w:firstLine="402" w:firstLineChars="200"/>
              <w:rPr>
                <w:rFonts w:ascii="Times New Roman" w:hAnsi="Times New Roman" w:eastAsia="宋体" w:cs="Times New Roman"/>
                <w:b/>
                <w:szCs w:val="24"/>
              </w:rPr>
            </w:pPr>
            <w:r>
              <w:rPr>
                <w:rFonts w:ascii="Times New Roman" w:hAnsi="Times New Roman" w:eastAsia="宋体" w:cs="Times New Roman"/>
                <w:b/>
                <w:sz w:val="20"/>
                <w:szCs w:val="24"/>
              </w:rPr>
              <w:pict>
                <v:line id="直接连接符 1" o:spid="_x0000_s1027" o:spt="20" style="position:absolute;left:0pt;flip:x y;margin-left:-4.4pt;margin-top:-0.2pt;height:31.2pt;width:15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">
                  <v:path arrowok="t"/>
                  <v:fill focussize="0,0"/>
                  <v:stroke/>
                  <v:imagedata o:title=""/>
                  <o:lock v:ext="edit"/>
                </v:line>
              </w:pict>
            </w:r>
          </w:p>
          <w:p>
            <w:pPr>
              <w:rPr>
                <w:rFonts w:ascii="Times New Roman" w:hAnsi="Times New Roman" w:eastAsia="宋体" w:cs="Times New Roman"/>
                <w:b/>
                <w:szCs w:val="24"/>
              </w:rPr>
            </w:pPr>
            <w:r>
              <w:rPr>
                <w:rFonts w:hint="eastAsia" w:ascii="Times New Roman" w:hAnsi="Times New Roman" w:eastAsia="宋体" w:cs="Times New Roman"/>
                <w:b/>
                <w:szCs w:val="24"/>
              </w:rPr>
              <w:t>课程内容</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讲</w:t>
            </w:r>
          </w:p>
          <w:p>
            <w:pPr>
              <w:jc w:val="center"/>
              <w:rPr>
                <w:rFonts w:ascii="Times New Roman" w:hAnsi="Times New Roman" w:eastAsia="宋体" w:cs="Times New Roman"/>
                <w:b/>
                <w:szCs w:val="24"/>
              </w:rPr>
            </w:pP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习</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题</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讨</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论</w:t>
            </w:r>
          </w:p>
          <w:p>
            <w:pPr>
              <w:jc w:val="center"/>
              <w:rPr>
                <w:rFonts w:ascii="Times New Roman" w:hAnsi="Times New Roman" w:eastAsia="宋体" w:cs="Times New Roman"/>
                <w:b/>
                <w:szCs w:val="24"/>
              </w:rPr>
            </w:pPr>
            <w:r>
              <w:rPr>
                <w:rFonts w:hint="eastAsia" w:ascii="Times New Roman" w:hAnsi="Times New Roman" w:eastAsia="宋体" w:cs="Times New Roman"/>
                <w:b/>
                <w:szCs w:val="24"/>
              </w:rPr>
              <w:t>课</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实验</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实习</w:t>
            </w:r>
          </w:p>
        </w:tc>
        <w:tc>
          <w:tcPr>
            <w:tcW w:w="81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其他教学环节</w:t>
            </w:r>
          </w:p>
        </w:tc>
        <w:tc>
          <w:tcPr>
            <w:tcW w:w="835" w:type="dxa"/>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小</w:t>
            </w:r>
          </w:p>
          <w:p>
            <w:pPr>
              <w:jc w:val="center"/>
              <w:rPr>
                <w:rFonts w:ascii="Times New Roman" w:hAnsi="Times New Roman" w:eastAsia="宋体" w:cs="Times New Roman"/>
                <w:b/>
                <w:szCs w:val="24"/>
              </w:rPr>
            </w:pPr>
          </w:p>
          <w:p>
            <w:pPr>
              <w:jc w:val="center"/>
              <w:rPr>
                <w:rFonts w:ascii="Times New Roman" w:hAnsi="Times New Roman" w:eastAsia="宋体" w:cs="Times New Roman"/>
                <w:b/>
                <w:szCs w:val="24"/>
              </w:rPr>
            </w:pPr>
            <w:r>
              <w:rPr>
                <w:rFonts w:hint="eastAsia" w:ascii="Times New Roman" w:hAnsi="Times New Roman" w:eastAsia="宋体" w:cs="Times New Roman"/>
                <w:b/>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绪论</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1"/>
              </w:rPr>
            </w:pPr>
            <w:r>
              <w:rPr>
                <w:rFonts w:hint="eastAsia" w:ascii="Times New Roman" w:hAnsi="Times New Roman" w:eastAsia="宋体" w:cs="Times New Roman"/>
                <w:szCs w:val="21"/>
              </w:rPr>
              <w:t>第一章第一节民法概述</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第一章第二节民事法律关系</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第一章第三节民事权利</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第一章第四节民事义务责任</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第一章第五节民事主体</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第一章第六节民事法律行为</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0</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vAlign w:val="center"/>
          </w:tcPr>
          <w:p>
            <w:pPr>
              <w:tabs>
                <w:tab w:val="left" w:pos="0"/>
              </w:tabs>
              <w:spacing w:line="360" w:lineRule="exact"/>
              <w:jc w:val="center"/>
              <w:rPr>
                <w:rFonts w:ascii="Times New Roman" w:hAnsi="Times New Roman" w:eastAsia="宋体" w:cs="Times New Roman"/>
                <w:szCs w:val="24"/>
              </w:rPr>
            </w:pPr>
            <w:r>
              <w:rPr>
                <w:rFonts w:hint="eastAsia" w:ascii="Times New Roman" w:hAnsi="Times New Roman" w:eastAsia="宋体" w:cs="Times New Roman"/>
                <w:szCs w:val="24"/>
              </w:rPr>
              <w:t>第一章第七节代理</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第一章第八节时效</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22" w:type="dxa"/>
          </w:tcPr>
          <w:p>
            <w:pPr>
              <w:tabs>
                <w:tab w:val="left" w:pos="0"/>
              </w:tabs>
              <w:spacing w:line="36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合计</w:t>
            </w: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5</w:t>
            </w:r>
            <w:r>
              <w:rPr>
                <w:rFonts w:ascii="Times New Roman" w:hAnsi="Times New Roman" w:eastAsia="宋体" w:cs="Times New Roman"/>
                <w:szCs w:val="24"/>
              </w:rPr>
              <w:t>4</w:t>
            </w: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0</w:t>
            </w:r>
          </w:p>
        </w:tc>
        <w:tc>
          <w:tcPr>
            <w:tcW w:w="835" w:type="dxa"/>
          </w:tcPr>
          <w:p>
            <w:pPr>
              <w:jc w:val="center"/>
              <w:rPr>
                <w:rFonts w:ascii="Times New Roman" w:hAnsi="Times New Roman" w:eastAsia="宋体" w:cs="Times New Roman"/>
                <w:szCs w:val="24"/>
              </w:rPr>
            </w:pPr>
          </w:p>
        </w:tc>
        <w:tc>
          <w:tcPr>
            <w:tcW w:w="815" w:type="dxa"/>
          </w:tcPr>
          <w:p>
            <w:pPr>
              <w:jc w:val="center"/>
              <w:rPr>
                <w:rFonts w:ascii="Times New Roman" w:hAnsi="Times New Roman" w:eastAsia="宋体" w:cs="Times New Roman"/>
                <w:szCs w:val="24"/>
              </w:rPr>
            </w:pPr>
          </w:p>
        </w:tc>
        <w:tc>
          <w:tcPr>
            <w:tcW w:w="835"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6</w:t>
            </w:r>
            <w:r>
              <w:rPr>
                <w:rFonts w:ascii="Times New Roman" w:hAnsi="Times New Roman" w:eastAsia="宋体" w:cs="Times New Roman"/>
                <w:szCs w:val="24"/>
              </w:rPr>
              <w:t>4</w:t>
            </w:r>
          </w:p>
        </w:tc>
      </w:tr>
    </w:tbl>
    <w:p>
      <w:pPr>
        <w:spacing w:line="360" w:lineRule="exact"/>
        <w:ind w:left="4656" w:hanging="4656" w:hangingChars="1940"/>
        <w:rPr>
          <w:rFonts w:ascii="黑体" w:hAnsi="Times New Roman" w:eastAsia="黑体" w:cs="Times New Roman"/>
          <w:sz w:val="24"/>
          <w:szCs w:val="24"/>
        </w:rPr>
      </w:pP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六、</w:t>
      </w:r>
      <w:r>
        <w:rPr>
          <w:rFonts w:ascii="黑体" w:hAnsi="Times New Roman" w:eastAsia="黑体" w:cs="Times New Roman"/>
          <w:sz w:val="24"/>
          <w:szCs w:val="24"/>
        </w:rPr>
        <w:t>课程考核</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（一）考核</w:t>
      </w:r>
      <w:r>
        <w:rPr>
          <w:rFonts w:ascii="黑体" w:hAnsi="Times New Roman" w:eastAsia="黑体" w:cs="Times New Roman"/>
          <w:sz w:val="24"/>
          <w:szCs w:val="24"/>
        </w:rPr>
        <w:t>方式</w:t>
      </w:r>
      <w:r>
        <w:rPr>
          <w:rFonts w:hint="eastAsia" w:ascii="黑体" w:hAnsi="Times New Roman" w:eastAsia="黑体" w:cs="Times New Roman"/>
          <w:sz w:val="24"/>
          <w:szCs w:val="24"/>
        </w:rPr>
        <w:t xml:space="preserve"> </w:t>
      </w:r>
      <w:r>
        <w:rPr>
          <w:rFonts w:ascii="黑体" w:hAnsi="Times New Roman" w:eastAsia="黑体" w:cs="Times New Roman"/>
          <w:sz w:val="24"/>
          <w:szCs w:val="24"/>
        </w:rPr>
        <w:t xml:space="preserve"> </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 xml:space="preserve"> </w:t>
      </w:r>
      <w:r>
        <w:rPr>
          <w:rFonts w:ascii="黑体" w:hAnsi="Times New Roman" w:eastAsia="黑体" w:cs="Times New Roman"/>
          <w:sz w:val="24"/>
          <w:szCs w:val="24"/>
        </w:rPr>
        <w:t xml:space="preserve">     </w:t>
      </w:r>
      <w:r>
        <w:rPr>
          <w:rFonts w:hint="eastAsia" w:ascii="黑体" w:hAnsi="Times New Roman" w:eastAsia="黑体" w:cs="Times New Roman"/>
          <w:sz w:val="24"/>
          <w:szCs w:val="24"/>
        </w:rPr>
        <w:t>平时与期末闭卷考试</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（二）成绩</w:t>
      </w:r>
      <w:r>
        <w:rPr>
          <w:rFonts w:ascii="黑体" w:hAnsi="Times New Roman" w:eastAsia="黑体" w:cs="Times New Roman"/>
          <w:sz w:val="24"/>
          <w:szCs w:val="24"/>
        </w:rPr>
        <w:t>构成</w:t>
      </w:r>
    </w:p>
    <w:p>
      <w:pPr>
        <w:spacing w:line="360" w:lineRule="exact"/>
        <w:ind w:firstLine="720" w:firstLineChars="300"/>
        <w:rPr>
          <w:rFonts w:ascii="黑体" w:hAnsi="Times New Roman" w:eastAsia="黑体" w:cs="Times New Roman"/>
          <w:sz w:val="24"/>
          <w:szCs w:val="24"/>
        </w:rPr>
      </w:pPr>
      <w:r>
        <w:rPr>
          <w:rFonts w:hint="eastAsia" w:ascii="黑体" w:hAnsi="Times New Roman" w:eastAsia="黑体" w:cs="Times New Roman"/>
          <w:sz w:val="24"/>
          <w:szCs w:val="24"/>
        </w:rPr>
        <w:t>平时</w:t>
      </w:r>
      <w:r>
        <w:rPr>
          <w:rFonts w:ascii="黑体" w:hAnsi="Times New Roman" w:eastAsia="黑体" w:cs="Times New Roman"/>
          <w:sz w:val="24"/>
          <w:szCs w:val="24"/>
        </w:rPr>
        <w:t>成绩占比：</w:t>
      </w:r>
      <w:r>
        <w:rPr>
          <w:rFonts w:hint="eastAsia" w:ascii="黑体" w:hAnsi="Times New Roman" w:eastAsia="黑体" w:cs="Times New Roman"/>
          <w:sz w:val="24"/>
          <w:szCs w:val="24"/>
        </w:rPr>
        <w:t>3</w:t>
      </w:r>
      <w:r>
        <w:rPr>
          <w:rFonts w:ascii="黑体" w:hAnsi="Times New Roman" w:eastAsia="黑体" w:cs="Times New Roman"/>
          <w:sz w:val="24"/>
          <w:szCs w:val="24"/>
        </w:rPr>
        <w:t>0%</w:t>
      </w:r>
      <w:r>
        <w:rPr>
          <w:rFonts w:hint="eastAsia" w:ascii="黑体" w:hAnsi="Times New Roman" w:eastAsia="黑体" w:cs="Times New Roman"/>
          <w:sz w:val="24"/>
          <w:szCs w:val="24"/>
        </w:rPr>
        <w:t xml:space="preserve">    期末</w:t>
      </w:r>
      <w:r>
        <w:rPr>
          <w:rFonts w:ascii="黑体" w:hAnsi="Times New Roman" w:eastAsia="黑体" w:cs="Times New Roman"/>
          <w:sz w:val="24"/>
          <w:szCs w:val="24"/>
        </w:rPr>
        <w:t>考试占比：</w:t>
      </w:r>
      <w:r>
        <w:rPr>
          <w:rFonts w:hint="eastAsia" w:ascii="黑体" w:hAnsi="Times New Roman" w:eastAsia="黑体" w:cs="Times New Roman"/>
          <w:sz w:val="24"/>
          <w:szCs w:val="24"/>
        </w:rPr>
        <w:t>7</w:t>
      </w:r>
      <w:r>
        <w:rPr>
          <w:rFonts w:ascii="黑体" w:hAnsi="Times New Roman" w:eastAsia="黑体" w:cs="Times New Roman"/>
          <w:sz w:val="24"/>
          <w:szCs w:val="24"/>
        </w:rPr>
        <w:t>0%</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（三）成绩</w:t>
      </w:r>
      <w:r>
        <w:rPr>
          <w:rFonts w:ascii="黑体" w:hAnsi="Times New Roman" w:eastAsia="黑体" w:cs="Times New Roman"/>
          <w:sz w:val="24"/>
          <w:szCs w:val="24"/>
        </w:rPr>
        <w:t>考核标准</w:t>
      </w:r>
    </w:p>
    <w:p>
      <w:pPr>
        <w:spacing w:line="360" w:lineRule="exact"/>
        <w:ind w:firstLine="480" w:firstLineChars="200"/>
        <w:rPr>
          <w:rFonts w:ascii="黑体" w:hAnsi="Times New Roman" w:eastAsia="黑体" w:cs="Times New Roman"/>
          <w:sz w:val="24"/>
          <w:szCs w:val="24"/>
        </w:rPr>
      </w:pPr>
      <w:r>
        <w:rPr>
          <w:rFonts w:hint="eastAsia" w:ascii="黑体" w:hAnsi="Times New Roman" w:eastAsia="黑体" w:cs="Times New Roman"/>
          <w:sz w:val="24"/>
          <w:szCs w:val="24"/>
        </w:rPr>
        <w:t>民法基本概念、基础知识、基本原理与民法制度体系是课程考核的主要内容，</w:t>
      </w:r>
      <w:r>
        <w:rPr>
          <w:rFonts w:hint="eastAsia" w:ascii="黑体" w:hAnsi="Times New Roman" w:eastAsia="黑体" w:cs="Times New Roman"/>
          <w:b/>
          <w:bCs/>
          <w:color w:val="FF0000"/>
          <w:sz w:val="24"/>
          <w:szCs w:val="24"/>
        </w:rPr>
        <w:t>社会主义核心价值观融入民法基本原理与民法基本制度中进行考核。</w:t>
      </w:r>
    </w:p>
    <w:p>
      <w:pPr>
        <w:spacing w:line="360" w:lineRule="exact"/>
        <w:ind w:left="4656" w:hanging="4656" w:hangingChars="1940"/>
        <w:rPr>
          <w:rFonts w:ascii="黑体" w:hAnsi="Times New Roman" w:eastAsia="黑体" w:cs="Times New Roman"/>
          <w:sz w:val="24"/>
          <w:szCs w:val="24"/>
        </w:rPr>
      </w:pPr>
      <w:r>
        <w:rPr>
          <w:rFonts w:hint="eastAsia" w:ascii="黑体" w:hAnsi="Times New Roman" w:eastAsia="黑体" w:cs="Times New Roman"/>
          <w:sz w:val="24"/>
          <w:szCs w:val="24"/>
        </w:rPr>
        <w:t>七、推荐教材和</w:t>
      </w:r>
      <w:bookmarkStart w:id="3" w:name="_Hlk59904053"/>
      <w:r>
        <w:rPr>
          <w:rFonts w:hint="eastAsia" w:ascii="黑体" w:hAnsi="Times New Roman" w:eastAsia="黑体" w:cs="Times New Roman"/>
          <w:sz w:val="24"/>
          <w:szCs w:val="24"/>
        </w:rPr>
        <w:t>教学参考资源</w:t>
      </w:r>
      <w:bookmarkEnd w:id="3"/>
    </w:p>
    <w:p>
      <w:pPr>
        <w:spacing w:line="360" w:lineRule="exact"/>
        <w:ind w:left="4656" w:hanging="4656" w:hangingChars="1940"/>
        <w:rPr>
          <w:rFonts w:ascii="宋体" w:hAnsi="宋体" w:eastAsia="宋体" w:cs="Times New Roman"/>
          <w:b/>
          <w:sz w:val="24"/>
          <w:szCs w:val="24"/>
        </w:rPr>
      </w:pPr>
      <w:r>
        <w:rPr>
          <w:rFonts w:hint="eastAsia" w:ascii="黑体" w:hAnsi="Times New Roman" w:eastAsia="黑体" w:cs="Times New Roman"/>
          <w:sz w:val="24"/>
          <w:szCs w:val="24"/>
        </w:rPr>
        <w:t xml:space="preserve">   </w:t>
      </w:r>
      <w:r>
        <w:rPr>
          <w:rFonts w:hint="eastAsia" w:ascii="宋体" w:hAnsi="宋体" w:eastAsia="宋体" w:cs="Times New Roman"/>
          <w:b/>
          <w:sz w:val="24"/>
          <w:szCs w:val="24"/>
        </w:rPr>
        <w:t>推荐教材</w:t>
      </w:r>
    </w:p>
    <w:p>
      <w:pPr>
        <w:pStyle w:val="6"/>
        <w:numPr>
          <w:ilvl w:val="0"/>
          <w:numId w:val="14"/>
        </w:numPr>
        <w:spacing w:line="360" w:lineRule="exact"/>
        <w:ind w:firstLineChars="0"/>
        <w:rPr>
          <w:rFonts w:ascii="宋体" w:hAnsi="宋体" w:eastAsia="宋体" w:cs="Times New Roman"/>
          <w:bCs/>
          <w:sz w:val="24"/>
          <w:szCs w:val="24"/>
        </w:rPr>
      </w:pPr>
      <w:r>
        <w:rPr>
          <w:rFonts w:hint="eastAsia" w:ascii="宋体" w:hAnsi="宋体" w:eastAsia="宋体" w:cs="Times New Roman"/>
          <w:bCs/>
          <w:sz w:val="24"/>
          <w:szCs w:val="24"/>
        </w:rPr>
        <w:t>民法学编写组.《民法学》.北京：高等教育出版社，2</w:t>
      </w:r>
      <w:r>
        <w:rPr>
          <w:rFonts w:ascii="宋体" w:hAnsi="宋体" w:eastAsia="宋体" w:cs="Times New Roman"/>
          <w:bCs/>
          <w:sz w:val="24"/>
          <w:szCs w:val="24"/>
        </w:rPr>
        <w:t>019</w:t>
      </w:r>
      <w:r>
        <w:rPr>
          <w:rFonts w:hint="eastAsia" w:ascii="宋体" w:hAnsi="宋体" w:eastAsia="宋体" w:cs="Times New Roman"/>
          <w:bCs/>
          <w:sz w:val="24"/>
          <w:szCs w:val="24"/>
        </w:rPr>
        <w:t>年版</w:t>
      </w:r>
    </w:p>
    <w:p>
      <w:pPr>
        <w:pStyle w:val="6"/>
        <w:numPr>
          <w:ilvl w:val="0"/>
          <w:numId w:val="14"/>
        </w:numPr>
        <w:spacing w:line="360" w:lineRule="exact"/>
        <w:ind w:firstLineChars="0"/>
        <w:rPr>
          <w:rFonts w:ascii="宋体" w:hAnsi="宋体" w:eastAsia="宋体" w:cs="Times New Roman"/>
          <w:bCs/>
          <w:sz w:val="24"/>
          <w:szCs w:val="24"/>
        </w:rPr>
      </w:pPr>
      <w:r>
        <w:rPr>
          <w:rFonts w:hint="eastAsia" w:ascii="宋体" w:hAnsi="宋体" w:eastAsia="宋体" w:cs="Times New Roman"/>
          <w:bCs/>
          <w:sz w:val="24"/>
          <w:szCs w:val="24"/>
        </w:rPr>
        <w:t>魏振瀛主编.《民法》.北京：北京大学出版社、高等教育出版社</w:t>
      </w:r>
      <w:r>
        <w:rPr>
          <w:rFonts w:ascii="宋体" w:hAnsi="宋体" w:eastAsia="宋体" w:cs="Times New Roman"/>
          <w:bCs/>
          <w:sz w:val="24"/>
          <w:szCs w:val="24"/>
        </w:rPr>
        <w:t>2017年第七版</w:t>
      </w:r>
    </w:p>
    <w:p>
      <w:pPr>
        <w:spacing w:line="3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教学参考资源</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w:t>
      </w:r>
      <w:r>
        <w:rPr>
          <w:rFonts w:hint="eastAsia" w:ascii="宋体" w:hAnsi="宋体" w:eastAsia="宋体" w:cs="Times New Roman"/>
          <w:bCs/>
          <w:sz w:val="24"/>
          <w:szCs w:val="24"/>
        </w:rPr>
        <w:t>（德）</w:t>
      </w:r>
      <w:r>
        <w:rPr>
          <w:rFonts w:ascii="宋体" w:hAnsi="宋体" w:eastAsia="宋体" w:cs="Times New Roman"/>
          <w:bCs/>
          <w:sz w:val="24"/>
          <w:szCs w:val="24"/>
        </w:rPr>
        <w:t>茨威格特</w:t>
      </w:r>
      <w:r>
        <w:rPr>
          <w:rFonts w:hint="eastAsia" w:ascii="宋体" w:hAnsi="宋体" w:eastAsia="宋体" w:cs="Times New Roman"/>
          <w:bCs/>
          <w:sz w:val="24"/>
          <w:szCs w:val="24"/>
        </w:rPr>
        <w:t>.</w:t>
      </w:r>
      <w:r>
        <w:rPr>
          <w:rFonts w:ascii="宋体" w:hAnsi="宋体" w:eastAsia="宋体" w:cs="Times New Roman"/>
          <w:bCs/>
          <w:sz w:val="24"/>
          <w:szCs w:val="24"/>
        </w:rPr>
        <w:t>《比较法总论》</w:t>
      </w:r>
      <w:r>
        <w:rPr>
          <w:rFonts w:hint="eastAsia" w:ascii="宋体" w:hAnsi="宋体" w:eastAsia="宋体" w:cs="Times New Roman"/>
          <w:bCs/>
          <w:sz w:val="24"/>
          <w:szCs w:val="24"/>
        </w:rPr>
        <w:t>.北京：</w:t>
      </w:r>
      <w:r>
        <w:rPr>
          <w:rFonts w:ascii="宋体" w:hAnsi="宋体" w:eastAsia="宋体" w:cs="Times New Roman"/>
          <w:bCs/>
          <w:sz w:val="24"/>
          <w:szCs w:val="24"/>
        </w:rPr>
        <w:t>法律出版社，2004年版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2、（法）达维德</w:t>
      </w:r>
      <w:r>
        <w:rPr>
          <w:rFonts w:hint="eastAsia" w:ascii="宋体" w:hAnsi="宋体" w:eastAsia="宋体" w:cs="Times New Roman"/>
          <w:bCs/>
          <w:sz w:val="24"/>
          <w:szCs w:val="24"/>
        </w:rPr>
        <w:t>.</w:t>
      </w:r>
      <w:r>
        <w:rPr>
          <w:rFonts w:ascii="宋体" w:hAnsi="宋体" w:eastAsia="宋体" w:cs="Times New Roman"/>
          <w:bCs/>
          <w:sz w:val="24"/>
          <w:szCs w:val="24"/>
        </w:rPr>
        <w:t>《当代主要法律体系》</w:t>
      </w:r>
      <w:r>
        <w:rPr>
          <w:rFonts w:hint="eastAsia" w:ascii="宋体" w:hAnsi="宋体" w:eastAsia="宋体" w:cs="Times New Roman"/>
          <w:bCs/>
          <w:sz w:val="24"/>
          <w:szCs w:val="24"/>
        </w:rPr>
        <w:t>，上海：</w:t>
      </w:r>
      <w:r>
        <w:rPr>
          <w:rFonts w:ascii="宋体" w:hAnsi="宋体" w:eastAsia="宋体" w:cs="Times New Roman"/>
          <w:bCs/>
          <w:sz w:val="24"/>
          <w:szCs w:val="24"/>
        </w:rPr>
        <w:t>上海译文出版社</w:t>
      </w:r>
      <w:r>
        <w:rPr>
          <w:rFonts w:hint="eastAsia" w:ascii="宋体" w:hAnsi="宋体" w:eastAsia="宋体" w:cs="Times New Roman"/>
          <w:bCs/>
          <w:sz w:val="24"/>
          <w:szCs w:val="24"/>
        </w:rPr>
        <w:t>,</w:t>
      </w:r>
      <w:r>
        <w:rPr>
          <w:rFonts w:ascii="宋体" w:hAnsi="宋体" w:eastAsia="宋体" w:cs="Times New Roman"/>
          <w:bCs/>
          <w:sz w:val="24"/>
          <w:szCs w:val="24"/>
        </w:rPr>
        <w:t>1984年版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3、（美）艾伦.沃森</w:t>
      </w:r>
      <w:r>
        <w:rPr>
          <w:rFonts w:hint="eastAsia" w:ascii="宋体" w:hAnsi="宋体" w:eastAsia="宋体" w:cs="Times New Roman"/>
          <w:bCs/>
          <w:sz w:val="24"/>
          <w:szCs w:val="24"/>
        </w:rPr>
        <w:t>.</w:t>
      </w:r>
      <w:r>
        <w:rPr>
          <w:rFonts w:ascii="宋体" w:hAnsi="宋体" w:eastAsia="宋体" w:cs="Times New Roman"/>
          <w:bCs/>
          <w:sz w:val="24"/>
          <w:szCs w:val="24"/>
        </w:rPr>
        <w:t>《民法法系的演变与形成》</w:t>
      </w:r>
      <w:r>
        <w:rPr>
          <w:rFonts w:hint="eastAsia" w:ascii="宋体" w:hAnsi="宋体" w:eastAsia="宋体" w:cs="Times New Roman"/>
          <w:bCs/>
          <w:sz w:val="24"/>
          <w:szCs w:val="24"/>
        </w:rPr>
        <w:t>，北京：</w:t>
      </w:r>
      <w:r>
        <w:rPr>
          <w:rFonts w:ascii="宋体" w:hAnsi="宋体" w:eastAsia="宋体" w:cs="Times New Roman"/>
          <w:bCs/>
          <w:sz w:val="24"/>
          <w:szCs w:val="24"/>
        </w:rPr>
        <w:t>中国政法大学出版社</w:t>
      </w:r>
      <w:r>
        <w:rPr>
          <w:rFonts w:hint="eastAsia" w:ascii="宋体" w:hAnsi="宋体" w:eastAsia="宋体" w:cs="Times New Roman"/>
          <w:bCs/>
          <w:sz w:val="24"/>
          <w:szCs w:val="24"/>
        </w:rPr>
        <w:t>,</w:t>
      </w:r>
      <w:r>
        <w:rPr>
          <w:rFonts w:ascii="宋体" w:hAnsi="宋体" w:eastAsia="宋体" w:cs="Times New Roman"/>
          <w:bCs/>
          <w:sz w:val="24"/>
          <w:szCs w:val="24"/>
        </w:rPr>
        <w:t>1992年版</w:t>
      </w:r>
      <w:r>
        <w:rPr>
          <w:rFonts w:hint="eastAsia" w:ascii="宋体" w:hAnsi="宋体" w:eastAsia="宋体" w:cs="Times New Roman"/>
          <w:bCs/>
          <w:sz w:val="24"/>
          <w:szCs w:val="24"/>
        </w:rPr>
        <w:t>；</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4、</w:t>
      </w:r>
      <w:r>
        <w:rPr>
          <w:rFonts w:hint="eastAsia" w:ascii="宋体" w:hAnsi="宋体" w:eastAsia="宋体" w:cs="Times New Roman"/>
          <w:bCs/>
          <w:sz w:val="24"/>
          <w:szCs w:val="24"/>
        </w:rPr>
        <w:t>（德）</w:t>
      </w:r>
      <w:r>
        <w:rPr>
          <w:rFonts w:ascii="宋体" w:hAnsi="宋体" w:eastAsia="宋体" w:cs="Times New Roman"/>
          <w:bCs/>
          <w:sz w:val="24"/>
          <w:szCs w:val="24"/>
        </w:rPr>
        <w:t>罗伯特.霍恩</w:t>
      </w:r>
      <w:r>
        <w:rPr>
          <w:rFonts w:hint="eastAsia" w:ascii="宋体" w:hAnsi="宋体" w:eastAsia="宋体" w:cs="Times New Roman"/>
          <w:bCs/>
          <w:sz w:val="24"/>
          <w:szCs w:val="24"/>
        </w:rPr>
        <w:t>.</w:t>
      </w:r>
      <w:r>
        <w:rPr>
          <w:rFonts w:ascii="宋体" w:hAnsi="宋体" w:eastAsia="宋体" w:cs="Times New Roman"/>
          <w:bCs/>
          <w:sz w:val="24"/>
          <w:szCs w:val="24"/>
        </w:rPr>
        <w:t>《德国民商法导论》</w:t>
      </w:r>
      <w:r>
        <w:rPr>
          <w:rFonts w:hint="eastAsia" w:ascii="宋体" w:hAnsi="宋体" w:eastAsia="宋体" w:cs="Times New Roman"/>
          <w:bCs/>
          <w:sz w:val="24"/>
          <w:szCs w:val="24"/>
        </w:rPr>
        <w:t>.北京：</w:t>
      </w:r>
      <w:r>
        <w:rPr>
          <w:rFonts w:ascii="宋体" w:hAnsi="宋体" w:eastAsia="宋体" w:cs="Times New Roman"/>
          <w:bCs/>
          <w:sz w:val="24"/>
          <w:szCs w:val="24"/>
        </w:rPr>
        <w:t xml:space="preserve"> 中国大百科全书出版社</w:t>
      </w:r>
      <w:r>
        <w:rPr>
          <w:rFonts w:hint="eastAsia" w:ascii="宋体" w:hAnsi="宋体" w:eastAsia="宋体" w:cs="Times New Roman"/>
          <w:bCs/>
          <w:sz w:val="24"/>
          <w:szCs w:val="24"/>
        </w:rPr>
        <w:t>,</w:t>
      </w:r>
      <w:r>
        <w:rPr>
          <w:rFonts w:ascii="宋体" w:hAnsi="宋体" w:eastAsia="宋体" w:cs="Times New Roman"/>
          <w:bCs/>
          <w:sz w:val="24"/>
          <w:szCs w:val="24"/>
        </w:rPr>
        <w:t>1996年版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5、王家福</w:t>
      </w:r>
      <w:r>
        <w:rPr>
          <w:rFonts w:hint="eastAsia" w:ascii="宋体" w:hAnsi="宋体" w:eastAsia="宋体" w:cs="Times New Roman"/>
          <w:bCs/>
          <w:sz w:val="24"/>
          <w:szCs w:val="24"/>
        </w:rPr>
        <w:t>.</w:t>
      </w:r>
      <w:r>
        <w:rPr>
          <w:rFonts w:ascii="宋体" w:hAnsi="宋体" w:eastAsia="宋体" w:cs="Times New Roman"/>
          <w:bCs/>
          <w:sz w:val="24"/>
          <w:szCs w:val="24"/>
        </w:rPr>
        <w:t>《中国民法学.民法总则》</w:t>
      </w:r>
      <w:r>
        <w:rPr>
          <w:rFonts w:hint="eastAsia" w:ascii="宋体" w:hAnsi="宋体" w:eastAsia="宋体" w:cs="Times New Roman"/>
          <w:bCs/>
          <w:sz w:val="24"/>
          <w:szCs w:val="24"/>
        </w:rPr>
        <w:t>.</w:t>
      </w:r>
      <w:r>
        <w:rPr>
          <w:rFonts w:ascii="宋体" w:hAnsi="宋体" w:eastAsia="宋体" w:cs="Times New Roman"/>
          <w:bCs/>
          <w:sz w:val="24"/>
          <w:szCs w:val="24"/>
        </w:rPr>
        <w:t xml:space="preserve"> </w:t>
      </w:r>
      <w:r>
        <w:rPr>
          <w:rFonts w:hint="eastAsia" w:ascii="宋体" w:hAnsi="宋体" w:eastAsia="宋体" w:cs="Times New Roman"/>
          <w:bCs/>
          <w:sz w:val="24"/>
          <w:szCs w:val="24"/>
        </w:rPr>
        <w:t>北京：</w:t>
      </w:r>
      <w:r>
        <w:rPr>
          <w:rFonts w:ascii="宋体" w:hAnsi="宋体" w:eastAsia="宋体" w:cs="Times New Roman"/>
          <w:bCs/>
          <w:sz w:val="24"/>
          <w:szCs w:val="24"/>
        </w:rPr>
        <w:t>中国人民公安大学出版社</w:t>
      </w:r>
      <w:r>
        <w:rPr>
          <w:rFonts w:hint="eastAsia" w:ascii="宋体" w:hAnsi="宋体" w:eastAsia="宋体" w:cs="Times New Roman"/>
          <w:bCs/>
          <w:sz w:val="24"/>
          <w:szCs w:val="24"/>
        </w:rPr>
        <w:t>,</w:t>
      </w:r>
      <w:r>
        <w:rPr>
          <w:rFonts w:ascii="宋体" w:hAnsi="宋体" w:eastAsia="宋体" w:cs="Times New Roman"/>
          <w:bCs/>
          <w:sz w:val="24"/>
          <w:szCs w:val="24"/>
        </w:rPr>
        <w:t>1990年版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6、梁慧星</w:t>
      </w:r>
      <w:r>
        <w:rPr>
          <w:rFonts w:hint="eastAsia" w:ascii="宋体" w:hAnsi="宋体" w:eastAsia="宋体" w:cs="Times New Roman"/>
          <w:bCs/>
          <w:sz w:val="24"/>
          <w:szCs w:val="24"/>
        </w:rPr>
        <w:t>.</w:t>
      </w:r>
      <w:r>
        <w:rPr>
          <w:rFonts w:ascii="宋体" w:hAnsi="宋体" w:eastAsia="宋体" w:cs="Times New Roman"/>
          <w:bCs/>
          <w:sz w:val="24"/>
          <w:szCs w:val="24"/>
        </w:rPr>
        <w:t>《民法总论》</w:t>
      </w:r>
      <w:r>
        <w:rPr>
          <w:rFonts w:hint="eastAsia" w:ascii="宋体" w:hAnsi="宋体" w:eastAsia="宋体" w:cs="Times New Roman"/>
          <w:bCs/>
          <w:sz w:val="24"/>
          <w:szCs w:val="24"/>
        </w:rPr>
        <w:t>.北京：</w:t>
      </w:r>
      <w:r>
        <w:rPr>
          <w:rFonts w:ascii="宋体" w:hAnsi="宋体" w:eastAsia="宋体" w:cs="Times New Roman"/>
          <w:bCs/>
          <w:sz w:val="24"/>
          <w:szCs w:val="24"/>
        </w:rPr>
        <w:t xml:space="preserve"> 法律出版社</w:t>
      </w:r>
      <w:r>
        <w:rPr>
          <w:rFonts w:hint="eastAsia" w:ascii="宋体" w:hAnsi="宋体" w:eastAsia="宋体" w:cs="Times New Roman"/>
          <w:bCs/>
          <w:sz w:val="24"/>
          <w:szCs w:val="24"/>
        </w:rPr>
        <w:t>,</w:t>
      </w:r>
      <w:r>
        <w:rPr>
          <w:rFonts w:ascii="宋体" w:hAnsi="宋体" w:eastAsia="宋体" w:cs="Times New Roman"/>
          <w:bCs/>
          <w:sz w:val="24"/>
          <w:szCs w:val="24"/>
        </w:rPr>
        <w:t>2017年版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7、张俊浩</w:t>
      </w:r>
      <w:r>
        <w:rPr>
          <w:rFonts w:hint="eastAsia" w:ascii="宋体" w:hAnsi="宋体" w:eastAsia="宋体" w:cs="Times New Roman"/>
          <w:bCs/>
          <w:sz w:val="24"/>
          <w:szCs w:val="24"/>
        </w:rPr>
        <w:t>.</w:t>
      </w:r>
      <w:r>
        <w:rPr>
          <w:rFonts w:ascii="宋体" w:hAnsi="宋体" w:eastAsia="宋体" w:cs="Times New Roman"/>
          <w:bCs/>
          <w:sz w:val="24"/>
          <w:szCs w:val="24"/>
        </w:rPr>
        <w:t>《民法学原理》</w:t>
      </w:r>
      <w:r>
        <w:rPr>
          <w:rFonts w:hint="eastAsia" w:ascii="宋体" w:hAnsi="宋体" w:eastAsia="宋体" w:cs="Times New Roman"/>
          <w:bCs/>
          <w:sz w:val="24"/>
          <w:szCs w:val="24"/>
        </w:rPr>
        <w:t>.北京：</w:t>
      </w:r>
      <w:r>
        <w:rPr>
          <w:rFonts w:ascii="宋体" w:hAnsi="宋体" w:eastAsia="宋体" w:cs="Times New Roman"/>
          <w:bCs/>
          <w:sz w:val="24"/>
          <w:szCs w:val="24"/>
        </w:rPr>
        <w:t>中国政法大学出版社</w:t>
      </w:r>
      <w:r>
        <w:rPr>
          <w:rFonts w:hint="eastAsia" w:ascii="宋体" w:hAnsi="宋体" w:eastAsia="宋体" w:cs="Times New Roman"/>
          <w:bCs/>
          <w:sz w:val="24"/>
          <w:szCs w:val="24"/>
        </w:rPr>
        <w:t>,</w:t>
      </w:r>
      <w:r>
        <w:rPr>
          <w:rFonts w:ascii="宋体" w:hAnsi="宋体" w:eastAsia="宋体" w:cs="Times New Roman"/>
          <w:bCs/>
          <w:sz w:val="24"/>
          <w:szCs w:val="24"/>
        </w:rPr>
        <w:t>1997年版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8、崔建远</w:t>
      </w:r>
      <w:r>
        <w:rPr>
          <w:rFonts w:hint="eastAsia" w:ascii="宋体" w:hAnsi="宋体" w:eastAsia="宋体" w:cs="Times New Roman"/>
          <w:bCs/>
          <w:sz w:val="24"/>
          <w:szCs w:val="24"/>
        </w:rPr>
        <w:t>.</w:t>
      </w:r>
      <w:r>
        <w:rPr>
          <w:rFonts w:ascii="宋体" w:hAnsi="宋体" w:eastAsia="宋体" w:cs="Times New Roman"/>
          <w:bCs/>
          <w:sz w:val="24"/>
          <w:szCs w:val="24"/>
        </w:rPr>
        <w:t>《民法总论》</w:t>
      </w:r>
      <w:r>
        <w:rPr>
          <w:rFonts w:hint="eastAsia" w:ascii="宋体" w:hAnsi="宋体" w:eastAsia="宋体" w:cs="Times New Roman"/>
          <w:bCs/>
          <w:sz w:val="24"/>
          <w:szCs w:val="24"/>
        </w:rPr>
        <w:t>.北京：</w:t>
      </w:r>
      <w:r>
        <w:rPr>
          <w:rFonts w:ascii="宋体" w:hAnsi="宋体" w:eastAsia="宋体" w:cs="Times New Roman"/>
          <w:bCs/>
          <w:sz w:val="24"/>
          <w:szCs w:val="24"/>
        </w:rPr>
        <w:t>清华大学出版社</w:t>
      </w:r>
      <w:r>
        <w:rPr>
          <w:rFonts w:hint="eastAsia" w:ascii="宋体" w:hAnsi="宋体" w:eastAsia="宋体" w:cs="Times New Roman"/>
          <w:bCs/>
          <w:sz w:val="24"/>
          <w:szCs w:val="24"/>
        </w:rPr>
        <w:t>,</w:t>
      </w:r>
      <w:r>
        <w:rPr>
          <w:rFonts w:ascii="宋体" w:hAnsi="宋体" w:eastAsia="宋体" w:cs="Times New Roman"/>
          <w:bCs/>
          <w:sz w:val="24"/>
          <w:szCs w:val="24"/>
        </w:rPr>
        <w:t>2010年版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9、张广兴</w:t>
      </w:r>
      <w:r>
        <w:rPr>
          <w:rFonts w:hint="eastAsia" w:ascii="宋体" w:hAnsi="宋体" w:eastAsia="宋体" w:cs="Times New Roman"/>
          <w:bCs/>
          <w:sz w:val="24"/>
          <w:szCs w:val="24"/>
        </w:rPr>
        <w:t>.</w:t>
      </w:r>
      <w:r>
        <w:rPr>
          <w:rFonts w:ascii="宋体" w:hAnsi="宋体" w:eastAsia="宋体" w:cs="Times New Roman"/>
          <w:bCs/>
          <w:sz w:val="24"/>
          <w:szCs w:val="24"/>
        </w:rPr>
        <w:t>《债法总论》</w:t>
      </w:r>
      <w:r>
        <w:rPr>
          <w:rFonts w:hint="eastAsia" w:ascii="宋体" w:hAnsi="宋体" w:eastAsia="宋体" w:cs="Times New Roman"/>
          <w:bCs/>
          <w:sz w:val="24"/>
          <w:szCs w:val="24"/>
        </w:rPr>
        <w:t>.北京：</w:t>
      </w:r>
      <w:r>
        <w:rPr>
          <w:rFonts w:ascii="宋体" w:hAnsi="宋体" w:eastAsia="宋体" w:cs="Times New Roman"/>
          <w:bCs/>
          <w:sz w:val="24"/>
          <w:szCs w:val="24"/>
        </w:rPr>
        <w:t>法律出版社</w:t>
      </w:r>
      <w:r>
        <w:rPr>
          <w:rFonts w:hint="eastAsia" w:ascii="宋体" w:hAnsi="宋体" w:eastAsia="宋体" w:cs="Times New Roman"/>
          <w:bCs/>
          <w:sz w:val="24"/>
          <w:szCs w:val="24"/>
        </w:rPr>
        <w:t>,</w:t>
      </w:r>
      <w:r>
        <w:rPr>
          <w:rFonts w:ascii="宋体" w:hAnsi="宋体" w:eastAsia="宋体" w:cs="Times New Roman"/>
          <w:bCs/>
          <w:sz w:val="24"/>
          <w:szCs w:val="24"/>
        </w:rPr>
        <w:t>1997年版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10、王家福</w:t>
      </w:r>
      <w:r>
        <w:rPr>
          <w:rFonts w:hint="eastAsia" w:ascii="宋体" w:hAnsi="宋体" w:eastAsia="宋体" w:cs="Times New Roman"/>
          <w:bCs/>
          <w:sz w:val="24"/>
          <w:szCs w:val="24"/>
        </w:rPr>
        <w:t>.</w:t>
      </w:r>
      <w:r>
        <w:rPr>
          <w:rFonts w:ascii="宋体" w:hAnsi="宋体" w:eastAsia="宋体" w:cs="Times New Roman"/>
          <w:bCs/>
          <w:sz w:val="24"/>
          <w:szCs w:val="24"/>
        </w:rPr>
        <w:t>《中国民法学.民法债权》</w:t>
      </w:r>
      <w:r>
        <w:rPr>
          <w:rFonts w:hint="eastAsia" w:ascii="宋体" w:hAnsi="宋体" w:eastAsia="宋体" w:cs="Times New Roman"/>
          <w:bCs/>
          <w:sz w:val="24"/>
          <w:szCs w:val="24"/>
        </w:rPr>
        <w:t>.北京：</w:t>
      </w:r>
      <w:r>
        <w:rPr>
          <w:rFonts w:ascii="宋体" w:hAnsi="宋体" w:eastAsia="宋体" w:cs="Times New Roman"/>
          <w:bCs/>
          <w:sz w:val="24"/>
          <w:szCs w:val="24"/>
        </w:rPr>
        <w:t>法律出版社</w:t>
      </w:r>
      <w:r>
        <w:rPr>
          <w:rFonts w:hint="eastAsia" w:ascii="宋体" w:hAnsi="宋体" w:eastAsia="宋体" w:cs="Times New Roman"/>
          <w:bCs/>
          <w:sz w:val="24"/>
          <w:szCs w:val="24"/>
        </w:rPr>
        <w:t>,</w:t>
      </w:r>
      <w:r>
        <w:rPr>
          <w:rFonts w:ascii="宋体" w:hAnsi="宋体" w:eastAsia="宋体" w:cs="Times New Roman"/>
          <w:bCs/>
          <w:sz w:val="24"/>
          <w:szCs w:val="24"/>
        </w:rPr>
        <w:t>1991年版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11、王利明</w:t>
      </w:r>
      <w:r>
        <w:rPr>
          <w:rFonts w:hint="eastAsia" w:ascii="宋体" w:hAnsi="宋体" w:eastAsia="宋体" w:cs="Times New Roman"/>
          <w:bCs/>
          <w:sz w:val="24"/>
          <w:szCs w:val="24"/>
        </w:rPr>
        <w:t>.</w:t>
      </w:r>
      <w:r>
        <w:rPr>
          <w:rFonts w:ascii="宋体" w:hAnsi="宋体" w:eastAsia="宋体" w:cs="Times New Roman"/>
          <w:bCs/>
          <w:sz w:val="24"/>
          <w:szCs w:val="24"/>
        </w:rPr>
        <w:t>《人格权法》.</w:t>
      </w:r>
      <w:r>
        <w:rPr>
          <w:rFonts w:hint="eastAsia" w:ascii="宋体" w:hAnsi="宋体" w:eastAsia="宋体" w:cs="Times New Roman"/>
          <w:bCs/>
          <w:sz w:val="24"/>
          <w:szCs w:val="24"/>
        </w:rPr>
        <w:t>北京：</w:t>
      </w:r>
      <w:r>
        <w:rPr>
          <w:rFonts w:ascii="宋体" w:hAnsi="宋体" w:eastAsia="宋体" w:cs="Times New Roman"/>
          <w:bCs/>
          <w:sz w:val="24"/>
          <w:szCs w:val="24"/>
        </w:rPr>
        <w:t>中国人民大学出版社</w:t>
      </w:r>
      <w:r>
        <w:rPr>
          <w:rFonts w:hint="eastAsia" w:ascii="宋体" w:hAnsi="宋体" w:eastAsia="宋体" w:cs="Times New Roman"/>
          <w:bCs/>
          <w:sz w:val="24"/>
          <w:szCs w:val="24"/>
        </w:rPr>
        <w:t>,</w:t>
      </w:r>
      <w:r>
        <w:rPr>
          <w:rFonts w:ascii="宋体" w:hAnsi="宋体" w:eastAsia="宋体" w:cs="Times New Roman"/>
          <w:bCs/>
          <w:sz w:val="24"/>
          <w:szCs w:val="24"/>
        </w:rPr>
        <w:t>2016年版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12、马俊驹 余延满</w:t>
      </w:r>
      <w:r>
        <w:rPr>
          <w:rFonts w:hint="eastAsia" w:ascii="宋体" w:hAnsi="宋体" w:eastAsia="宋体" w:cs="Times New Roman"/>
          <w:bCs/>
          <w:sz w:val="24"/>
          <w:szCs w:val="24"/>
        </w:rPr>
        <w:t>.</w:t>
      </w:r>
      <w:r>
        <w:rPr>
          <w:rFonts w:ascii="宋体" w:hAnsi="宋体" w:eastAsia="宋体" w:cs="Times New Roman"/>
          <w:bCs/>
          <w:sz w:val="24"/>
          <w:szCs w:val="24"/>
        </w:rPr>
        <w:t>《民法原论》</w:t>
      </w:r>
      <w:r>
        <w:rPr>
          <w:rFonts w:hint="eastAsia" w:ascii="宋体" w:hAnsi="宋体" w:eastAsia="宋体" w:cs="Times New Roman"/>
          <w:bCs/>
          <w:sz w:val="24"/>
          <w:szCs w:val="24"/>
        </w:rPr>
        <w:t>.北京：</w:t>
      </w:r>
      <w:r>
        <w:rPr>
          <w:rFonts w:ascii="宋体" w:hAnsi="宋体" w:eastAsia="宋体" w:cs="Times New Roman"/>
          <w:bCs/>
          <w:sz w:val="24"/>
          <w:szCs w:val="24"/>
        </w:rPr>
        <w:t>法律出版社</w:t>
      </w:r>
      <w:r>
        <w:rPr>
          <w:rFonts w:hint="eastAsia" w:ascii="宋体" w:hAnsi="宋体" w:eastAsia="宋体" w:cs="Times New Roman"/>
          <w:bCs/>
          <w:sz w:val="24"/>
          <w:szCs w:val="24"/>
        </w:rPr>
        <w:t>,</w:t>
      </w:r>
      <w:r>
        <w:rPr>
          <w:rFonts w:ascii="宋体" w:hAnsi="宋体" w:eastAsia="宋体" w:cs="Times New Roman"/>
          <w:bCs/>
          <w:sz w:val="24"/>
          <w:szCs w:val="24"/>
        </w:rPr>
        <w:t>2005年版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13、王泽鉴</w:t>
      </w:r>
      <w:r>
        <w:rPr>
          <w:rFonts w:hint="eastAsia" w:ascii="宋体" w:hAnsi="宋体" w:eastAsia="宋体" w:cs="Times New Roman"/>
          <w:bCs/>
          <w:sz w:val="24"/>
          <w:szCs w:val="24"/>
        </w:rPr>
        <w:t>.</w:t>
      </w:r>
      <w:r>
        <w:rPr>
          <w:rFonts w:ascii="宋体" w:hAnsi="宋体" w:eastAsia="宋体" w:cs="Times New Roman"/>
          <w:bCs/>
          <w:sz w:val="24"/>
          <w:szCs w:val="24"/>
        </w:rPr>
        <w:t>《民法总则》，北京</w:t>
      </w:r>
      <w:r>
        <w:rPr>
          <w:rFonts w:hint="eastAsia" w:ascii="宋体" w:hAnsi="宋体" w:eastAsia="宋体" w:cs="Times New Roman"/>
          <w:bCs/>
          <w:sz w:val="24"/>
          <w:szCs w:val="24"/>
        </w:rPr>
        <w:t>：</w:t>
      </w:r>
      <w:r>
        <w:rPr>
          <w:rFonts w:ascii="宋体" w:hAnsi="宋体" w:eastAsia="宋体" w:cs="Times New Roman"/>
          <w:bCs/>
          <w:sz w:val="24"/>
          <w:szCs w:val="24"/>
        </w:rPr>
        <w:t>大学出版社</w:t>
      </w:r>
      <w:r>
        <w:rPr>
          <w:rFonts w:hint="eastAsia" w:ascii="宋体" w:hAnsi="宋体" w:eastAsia="宋体" w:cs="Times New Roman"/>
          <w:bCs/>
          <w:sz w:val="24"/>
          <w:szCs w:val="24"/>
        </w:rPr>
        <w:t>,</w:t>
      </w:r>
      <w:r>
        <w:rPr>
          <w:rFonts w:ascii="宋体" w:hAnsi="宋体" w:eastAsia="宋体" w:cs="Times New Roman"/>
          <w:bCs/>
          <w:sz w:val="24"/>
          <w:szCs w:val="24"/>
        </w:rPr>
        <w:t>2009年版</w:t>
      </w:r>
      <w:r>
        <w:rPr>
          <w:rFonts w:hint="eastAsia" w:ascii="宋体" w:hAnsi="宋体" w:eastAsia="宋体" w:cs="Times New Roman"/>
          <w:bCs/>
          <w:sz w:val="24"/>
          <w:szCs w:val="24"/>
        </w:rPr>
        <w:t>；</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14、董安生</w:t>
      </w:r>
      <w:r>
        <w:rPr>
          <w:rFonts w:hint="eastAsia" w:ascii="宋体" w:hAnsi="宋体" w:eastAsia="宋体" w:cs="Times New Roman"/>
          <w:bCs/>
          <w:sz w:val="24"/>
          <w:szCs w:val="24"/>
        </w:rPr>
        <w:t>.</w:t>
      </w:r>
      <w:r>
        <w:rPr>
          <w:rFonts w:ascii="宋体" w:hAnsi="宋体" w:eastAsia="宋体" w:cs="Times New Roman"/>
          <w:bCs/>
          <w:sz w:val="24"/>
          <w:szCs w:val="24"/>
        </w:rPr>
        <w:t>《民事法律行为》，</w:t>
      </w:r>
      <w:r>
        <w:rPr>
          <w:rFonts w:hint="eastAsia" w:ascii="宋体" w:hAnsi="宋体" w:eastAsia="宋体" w:cs="Times New Roman"/>
          <w:bCs/>
          <w:sz w:val="24"/>
          <w:szCs w:val="24"/>
        </w:rPr>
        <w:t>北京：</w:t>
      </w:r>
      <w:r>
        <w:rPr>
          <w:rFonts w:ascii="宋体" w:hAnsi="宋体" w:eastAsia="宋体" w:cs="Times New Roman"/>
          <w:bCs/>
          <w:sz w:val="24"/>
          <w:szCs w:val="24"/>
        </w:rPr>
        <w:t>中国人民大学出版社</w:t>
      </w:r>
      <w:r>
        <w:rPr>
          <w:rFonts w:hint="eastAsia" w:ascii="宋体" w:hAnsi="宋体" w:eastAsia="宋体" w:cs="Times New Roman"/>
          <w:bCs/>
          <w:sz w:val="24"/>
          <w:szCs w:val="24"/>
        </w:rPr>
        <w:t>，2</w:t>
      </w:r>
      <w:r>
        <w:rPr>
          <w:rFonts w:ascii="宋体" w:hAnsi="宋体" w:eastAsia="宋体" w:cs="Times New Roman"/>
          <w:bCs/>
          <w:sz w:val="24"/>
          <w:szCs w:val="24"/>
        </w:rPr>
        <w:t>002</w:t>
      </w:r>
      <w:r>
        <w:rPr>
          <w:rFonts w:hint="eastAsia" w:ascii="宋体" w:hAnsi="宋体" w:eastAsia="宋体" w:cs="Times New Roman"/>
          <w:bCs/>
          <w:sz w:val="24"/>
          <w:szCs w:val="24"/>
        </w:rPr>
        <w:t>年版；</w:t>
      </w:r>
    </w:p>
    <w:p>
      <w:pPr>
        <w:spacing w:line="360" w:lineRule="exact"/>
        <w:ind w:firstLine="480" w:firstLineChars="200"/>
        <w:rPr>
          <w:rFonts w:ascii="宋体" w:hAnsi="宋体" w:eastAsia="宋体" w:cs="Times New Roman"/>
          <w:bCs/>
          <w:sz w:val="24"/>
          <w:szCs w:val="24"/>
        </w:rPr>
      </w:pPr>
      <w:r>
        <w:rPr>
          <w:rFonts w:ascii="宋体" w:hAnsi="宋体" w:eastAsia="宋体" w:cs="Times New Roman"/>
          <w:bCs/>
          <w:sz w:val="24"/>
          <w:szCs w:val="24"/>
        </w:rPr>
        <w:t>15、谢怀栻</w:t>
      </w:r>
      <w:r>
        <w:rPr>
          <w:rFonts w:hint="eastAsia" w:ascii="宋体" w:hAnsi="宋体" w:eastAsia="宋体" w:cs="Times New Roman"/>
          <w:bCs/>
          <w:sz w:val="24"/>
          <w:szCs w:val="24"/>
        </w:rPr>
        <w:t>.</w:t>
      </w:r>
      <w:r>
        <w:rPr>
          <w:rFonts w:ascii="宋体" w:hAnsi="宋体" w:eastAsia="宋体" w:cs="Times New Roman"/>
          <w:bCs/>
          <w:sz w:val="24"/>
          <w:szCs w:val="24"/>
        </w:rPr>
        <w:t>《外国民商法精要（增补版）》，</w:t>
      </w:r>
      <w:r>
        <w:rPr>
          <w:rFonts w:hint="eastAsia" w:ascii="宋体" w:hAnsi="宋体" w:eastAsia="宋体" w:cs="Times New Roman"/>
          <w:bCs/>
          <w:sz w:val="24"/>
          <w:szCs w:val="24"/>
        </w:rPr>
        <w:t>北京：</w:t>
      </w:r>
      <w:r>
        <w:rPr>
          <w:rFonts w:ascii="宋体" w:hAnsi="宋体" w:eastAsia="宋体" w:cs="Times New Roman"/>
          <w:bCs/>
          <w:sz w:val="24"/>
          <w:szCs w:val="24"/>
        </w:rPr>
        <w:t>法律出版社</w:t>
      </w:r>
      <w:r>
        <w:rPr>
          <w:rFonts w:hint="eastAsia" w:ascii="宋体" w:hAnsi="宋体" w:eastAsia="宋体" w:cs="Times New Roman"/>
          <w:bCs/>
          <w:sz w:val="24"/>
          <w:szCs w:val="24"/>
        </w:rPr>
        <w:t>,</w:t>
      </w:r>
      <w:r>
        <w:rPr>
          <w:rFonts w:ascii="宋体" w:hAnsi="宋体" w:eastAsia="宋体" w:cs="Times New Roman"/>
          <w:bCs/>
          <w:sz w:val="24"/>
          <w:szCs w:val="24"/>
        </w:rPr>
        <w:t>2006年版</w:t>
      </w:r>
    </w:p>
    <w:p>
      <w:pPr>
        <w:spacing w:line="360" w:lineRule="exact"/>
        <w:rPr>
          <w:rFonts w:ascii="黑体" w:hAnsi="Times New Roman" w:eastAsia="黑体" w:cs="Times New Roman"/>
          <w:color w:val="FF0000"/>
          <w:sz w:val="24"/>
          <w:szCs w:val="24"/>
        </w:rPr>
      </w:pPr>
      <w:r>
        <w:rPr>
          <w:rFonts w:hint="eastAsia" w:ascii="黑体" w:hAnsi="Times New Roman" w:eastAsia="黑体" w:cs="Times New Roman"/>
          <w:color w:val="FF0000"/>
          <w:sz w:val="24"/>
          <w:szCs w:val="24"/>
        </w:rPr>
        <w:t xml:space="preserve">    </w:t>
      </w:r>
    </w:p>
    <w:p>
      <w:pPr>
        <w:spacing w:line="360" w:lineRule="exact"/>
        <w:ind w:left="4656" w:hanging="4656" w:hangingChars="1940"/>
        <w:rPr>
          <w:rFonts w:ascii="宋体" w:hAnsi="宋体" w:eastAsia="宋体" w:cs="Times New Roman"/>
          <w:color w:val="FF0000"/>
          <w:sz w:val="24"/>
          <w:szCs w:val="24"/>
        </w:rPr>
      </w:pPr>
      <w:r>
        <w:rPr>
          <w:rFonts w:hint="eastAsia" w:ascii="黑体" w:hAnsi="Times New Roman" w:eastAsia="黑体" w:cs="Times New Roman"/>
          <w:color w:val="FF0000"/>
          <w:sz w:val="24"/>
          <w:szCs w:val="24"/>
        </w:rPr>
        <w:t xml:space="preserve">           </w:t>
      </w:r>
      <w:r>
        <w:rPr>
          <w:rFonts w:hint="eastAsia" w:ascii="宋体" w:hAnsi="宋体" w:eastAsia="宋体" w:cs="Times New Roman"/>
          <w:color w:val="FF0000"/>
          <w:sz w:val="24"/>
          <w:szCs w:val="24"/>
        </w:rPr>
        <w:t xml:space="preserve"> </w:t>
      </w:r>
    </w:p>
    <w:p>
      <w:pPr>
        <w:spacing w:line="360" w:lineRule="exact"/>
        <w:ind w:firstLine="480" w:firstLineChars="200"/>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大纲修订人： 王坤                            修订日期：2</w:t>
      </w:r>
      <w:r>
        <w:rPr>
          <w:rFonts w:ascii="宋体" w:hAnsi="宋体" w:eastAsia="宋体" w:cs="Times New Roman"/>
          <w:color w:val="000000" w:themeColor="text1"/>
          <w:sz w:val="24"/>
          <w:szCs w:val="24"/>
        </w:rPr>
        <w:t>02</w:t>
      </w:r>
      <w:r>
        <w:rPr>
          <w:rFonts w:hint="eastAsia" w:ascii="宋体" w:hAnsi="宋体" w:eastAsia="宋体" w:cs="Times New Roman"/>
          <w:color w:val="000000" w:themeColor="text1"/>
          <w:sz w:val="24"/>
          <w:szCs w:val="24"/>
        </w:rPr>
        <w:t>1</w:t>
      </w:r>
      <w:r>
        <w:rPr>
          <w:rFonts w:ascii="宋体" w:hAnsi="宋体" w:eastAsia="宋体" w:cs="Times New Roman"/>
          <w:color w:val="000000" w:themeColor="text1"/>
          <w:sz w:val="24"/>
          <w:szCs w:val="24"/>
        </w:rPr>
        <w:t>.12.2</w:t>
      </w:r>
      <w:r>
        <w:rPr>
          <w:rFonts w:hint="eastAsia" w:ascii="宋体" w:hAnsi="宋体" w:eastAsia="宋体" w:cs="Times New Roman"/>
          <w:color w:val="000000" w:themeColor="text1"/>
          <w:sz w:val="24"/>
          <w:szCs w:val="24"/>
        </w:rPr>
        <w:t>0</w:t>
      </w:r>
    </w:p>
    <w:p>
      <w:pPr>
        <w:spacing w:line="360" w:lineRule="exact"/>
        <w:ind w:firstLine="480" w:firstLineChars="200"/>
        <w:rPr>
          <w:rFonts w:ascii="宋体" w:hAnsi="宋体" w:eastAsia="宋体" w:cs="Times New Roman"/>
          <w:color w:val="000000" w:themeColor="text1"/>
          <w:sz w:val="24"/>
          <w:szCs w:val="24"/>
        </w:rPr>
      </w:pPr>
      <w:r>
        <w:rPr>
          <w:rFonts w:hint="eastAsia" w:ascii="宋体" w:hAnsi="宋体" w:eastAsia="宋体" w:cs="Times New Roman"/>
          <w:color w:val="000000" w:themeColor="text1"/>
          <w:sz w:val="24"/>
          <w:szCs w:val="24"/>
        </w:rPr>
        <w:t>大纲审定人： 黎运智                          审定日期：2021.12.21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A2AEC"/>
    <w:multiLevelType w:val="multilevel"/>
    <w:tmpl w:val="04EA2AEC"/>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
    <w:nsid w:val="077F4BF5"/>
    <w:multiLevelType w:val="multilevel"/>
    <w:tmpl w:val="077F4BF5"/>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
    <w:nsid w:val="0BFB4B42"/>
    <w:multiLevelType w:val="multilevel"/>
    <w:tmpl w:val="0BFB4B42"/>
    <w:lvl w:ilvl="0" w:tentative="0">
      <w:start w:val="1"/>
      <w:numFmt w:val="decimalEnclosedParen"/>
      <w:lvlText w:val="%1"/>
      <w:lvlJc w:val="left"/>
      <w:pPr>
        <w:ind w:left="1636" w:hanging="360"/>
      </w:pPr>
      <w:rPr>
        <w:rFonts w:hint="default"/>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
    <w:nsid w:val="0CF42EC0"/>
    <w:multiLevelType w:val="multilevel"/>
    <w:tmpl w:val="0CF42EC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8F46C54"/>
    <w:multiLevelType w:val="multilevel"/>
    <w:tmpl w:val="18F46C54"/>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1F0D72E5"/>
    <w:multiLevelType w:val="multilevel"/>
    <w:tmpl w:val="1F0D72E5"/>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1F89783B"/>
    <w:multiLevelType w:val="multilevel"/>
    <w:tmpl w:val="1F89783B"/>
    <w:lvl w:ilvl="0" w:tentative="0">
      <w:start w:val="1"/>
      <w:numFmt w:val="decimal"/>
      <w:lvlText w:val="%1."/>
      <w:lvlJc w:val="left"/>
      <w:pPr>
        <w:ind w:left="1620" w:hanging="360"/>
      </w:pPr>
      <w:rPr>
        <w:rFonts w:hint="default"/>
      </w:rPr>
    </w:lvl>
    <w:lvl w:ilvl="1" w:tentative="0">
      <w:start w:val="1"/>
      <w:numFmt w:val="decimalEnclosedParen"/>
      <w:lvlText w:val="%2"/>
      <w:lvlJc w:val="left"/>
      <w:pPr>
        <w:ind w:left="2040" w:hanging="360"/>
      </w:pPr>
      <w:rPr>
        <w:rFonts w:hint="default"/>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3DFA6EC8"/>
    <w:multiLevelType w:val="multilevel"/>
    <w:tmpl w:val="3DFA6EC8"/>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8">
    <w:nsid w:val="40582C60"/>
    <w:multiLevelType w:val="multilevel"/>
    <w:tmpl w:val="40582C60"/>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57912D18"/>
    <w:multiLevelType w:val="multilevel"/>
    <w:tmpl w:val="57912D18"/>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0">
    <w:nsid w:val="5BC305D5"/>
    <w:multiLevelType w:val="multilevel"/>
    <w:tmpl w:val="5BC305D5"/>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1">
    <w:nsid w:val="6EA75949"/>
    <w:multiLevelType w:val="multilevel"/>
    <w:tmpl w:val="6EA75949"/>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2">
    <w:nsid w:val="7CEF3F70"/>
    <w:multiLevelType w:val="multilevel"/>
    <w:tmpl w:val="7CEF3F70"/>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3">
    <w:nsid w:val="7DDA79EE"/>
    <w:multiLevelType w:val="multilevel"/>
    <w:tmpl w:val="7DDA79EE"/>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10"/>
  </w:num>
  <w:num w:numId="2">
    <w:abstractNumId w:val="5"/>
  </w:num>
  <w:num w:numId="3">
    <w:abstractNumId w:val="0"/>
  </w:num>
  <w:num w:numId="4">
    <w:abstractNumId w:val="4"/>
  </w:num>
  <w:num w:numId="5">
    <w:abstractNumId w:val="13"/>
  </w:num>
  <w:num w:numId="6">
    <w:abstractNumId w:val="1"/>
  </w:num>
  <w:num w:numId="7">
    <w:abstractNumId w:val="2"/>
  </w:num>
  <w:num w:numId="8">
    <w:abstractNumId w:val="11"/>
  </w:num>
  <w:num w:numId="9">
    <w:abstractNumId w:val="12"/>
  </w:num>
  <w:num w:numId="10">
    <w:abstractNumId w:val="9"/>
  </w:num>
  <w:num w:numId="11">
    <w:abstractNumId w:val="6"/>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7104"/>
    <w:rsid w:val="00297104"/>
    <w:rsid w:val="002A2A2F"/>
    <w:rsid w:val="00323558"/>
    <w:rsid w:val="004E11B7"/>
    <w:rsid w:val="006630ED"/>
    <w:rsid w:val="00862D0C"/>
    <w:rsid w:val="00BA6CC5"/>
    <w:rsid w:val="00C92B77"/>
    <w:rsid w:val="00D06719"/>
    <w:rsid w:val="00E63F68"/>
    <w:rsid w:val="24D0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1009</Words>
  <Characters>5753</Characters>
  <Lines>47</Lines>
  <Paragraphs>13</Paragraphs>
  <TotalTime>45</TotalTime>
  <ScaleCrop>false</ScaleCrop>
  <LinksUpToDate>false</LinksUpToDate>
  <CharactersWithSpaces>6749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2021-12-20T10:07:00Z</dcterms:created>
  <dc:creator>jsj03</dc:creator>
  <cp:lastModifiedBy>Administrator</cp:lastModifiedBy>
  <dcterms:modified xsi:type="dcterms:W3CDTF">2022-01-06T07:32:20Z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AE9764F0051C4AF7BD9C431B96CD6B70</vt:lpwstr>
  </property>
</Properties>
</file>