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sz w:val="36"/>
          <w:szCs w:val="36"/>
        </w:rPr>
      </w:pPr>
      <w:r>
        <w:rPr>
          <w:rFonts w:ascii="黑体" w:hAnsi="Times New Roman" w:eastAsia="黑体" w:cs="Times New Roman"/>
          <w:b/>
          <w:sz w:val="36"/>
          <w:szCs w:val="36"/>
        </w:rPr>
        <w:t>《</w:t>
      </w:r>
      <w:r>
        <w:rPr>
          <w:rFonts w:hint="eastAsia" w:ascii="黑体" w:eastAsia="黑体" w:cs="Times New Roman"/>
          <w:b/>
          <w:sz w:val="36"/>
          <w:szCs w:val="36"/>
          <w:lang w:val="en-US" w:eastAsia="zh-CN"/>
        </w:rPr>
        <w:t>财税英语</w:t>
      </w:r>
      <w:r>
        <w:rPr>
          <w:rFonts w:ascii="黑体" w:hAnsi="Times New Roman" w:eastAsia="黑体" w:cs="Times New Roman"/>
          <w:b/>
          <w:sz w:val="36"/>
          <w:szCs w:val="36"/>
        </w:rPr>
        <w:t>》课程教学大纲</w:t>
      </w:r>
    </w:p>
    <w:p>
      <w:pPr>
        <w:jc w:val="center"/>
        <w:rPr>
          <w:rFonts w:ascii="黑体" w:hAnsi="Times New Roman" w:eastAsia="黑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一、课程基本信息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课程代码：16009002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课程名称：</w:t>
      </w:r>
      <w:r>
        <w:rPr>
          <w:rFonts w:hint="eastAsia" w:cs="Times New Roman"/>
          <w:sz w:val="24"/>
          <w:lang w:val="en-US" w:eastAsia="zh-CN"/>
        </w:rPr>
        <w:t>财税英语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英文名称：</w:t>
      </w:r>
      <w:r>
        <w:rPr>
          <w:rFonts w:hint="eastAsia" w:cs="Times New Roman"/>
          <w:sz w:val="24"/>
          <w:lang w:val="en-US" w:eastAsia="zh-CN"/>
        </w:rPr>
        <w:t xml:space="preserve">Specialized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English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of Public </w:t>
      </w:r>
      <w:r>
        <w:rPr>
          <w:rFonts w:hint="eastAsia" w:cs="Times New Roman"/>
          <w:sz w:val="24"/>
          <w:lang w:val="en-US" w:eastAsia="zh-CN"/>
        </w:rPr>
        <w:t>Finance and Taxation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课程类别：专业课  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学    时：</w:t>
      </w:r>
      <w:r>
        <w:rPr>
          <w:rFonts w:hint="eastAsia" w:cs="Times New Roman"/>
          <w:sz w:val="24"/>
          <w:lang w:val="en-US" w:eastAsia="zh-CN"/>
        </w:rPr>
        <w:t>32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学　　分：</w:t>
      </w:r>
      <w:r>
        <w:rPr>
          <w:rFonts w:hint="eastAsia" w:cs="Times New Roman"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适用对象</w:t>
      </w:r>
      <w:r>
        <w:rPr>
          <w:rFonts w:hint="eastAsia" w:cs="Times New Roman"/>
          <w:sz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财政学类本科专业大三年级学生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考核方式：</w:t>
      </w:r>
      <w:r>
        <w:rPr>
          <w:rFonts w:hint="eastAsia" w:cs="Times New Roman"/>
          <w:sz w:val="24"/>
          <w:lang w:val="en-US" w:eastAsia="zh-CN"/>
        </w:rPr>
        <w:t>开卷考试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先修课程：《大学英语》、《</w:t>
      </w:r>
      <w:r>
        <w:rPr>
          <w:rFonts w:hint="eastAsia" w:cs="Times New Roman"/>
          <w:sz w:val="24"/>
          <w:lang w:val="en-US" w:eastAsia="zh-CN"/>
        </w:rPr>
        <w:t>财政学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二、课程简介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本课程是针对</w:t>
      </w:r>
      <w:r>
        <w:rPr>
          <w:rFonts w:hint="eastAsia" w:cs="Times New Roman"/>
          <w:sz w:val="24"/>
          <w:lang w:val="en-US" w:eastAsia="zh-CN"/>
        </w:rPr>
        <w:t>财政学类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专业高年级学生所开设的专业</w:t>
      </w:r>
      <w:r>
        <w:rPr>
          <w:rFonts w:hint="eastAsia" w:cs="Times New Roman"/>
          <w:sz w:val="24"/>
          <w:lang w:val="en-US" w:eastAsia="zh-CN"/>
        </w:rPr>
        <w:t>选修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</w:t>
      </w:r>
      <w:r>
        <w:rPr>
          <w:rFonts w:hint="eastAsia" w:cs="Times New Roman"/>
          <w:sz w:val="24"/>
          <w:lang w:val="en-US" w:eastAsia="zh-CN"/>
        </w:rPr>
        <w:t>，结合对财税方面英文资料的阅读、分析与比较，重点介绍财政学专业术语的英文表达。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课程内容主要包括</w:t>
      </w:r>
      <w:r>
        <w:rPr>
          <w:rFonts w:hint="eastAsia" w:cs="Times New Roman"/>
          <w:sz w:val="24"/>
          <w:lang w:val="en-US" w:eastAsia="zh-CN"/>
        </w:rPr>
        <w:t>财政学基础理论篇，财政支出篇、财政收入篇与财政管理篇等内容模块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三、课程性质与教学目的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本课程是</w:t>
      </w:r>
      <w:r>
        <w:rPr>
          <w:rFonts w:hint="eastAsia" w:cs="Times New Roman"/>
          <w:sz w:val="24"/>
          <w:lang w:val="en-US" w:eastAsia="zh-CN"/>
        </w:rPr>
        <w:t>财政学类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专业</w:t>
      </w:r>
      <w:r>
        <w:rPr>
          <w:rFonts w:hint="eastAsia" w:cs="Times New Roman"/>
          <w:sz w:val="24"/>
          <w:lang w:val="en-US" w:eastAsia="zh-CN"/>
        </w:rPr>
        <w:t>选修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课程</w:t>
      </w:r>
      <w:r>
        <w:rPr>
          <w:rFonts w:hint="eastAsia" w:cs="Times New Roman"/>
          <w:sz w:val="24"/>
          <w:lang w:val="en-US" w:eastAsia="zh-CN"/>
        </w:rPr>
        <w:t>之一。结合本专业培养高素质、复合型、国际化的财税专业人才的目标定位与要求，本课程的教学目的主要有：（1）重点使学生掌握对财政学基本概念、术语、原理的英文表达与深层次理解，把握国内外财税理论与实践的发展脉络与前沿动态，拓宽知识面；（2）提高学生运用英文进行专业交流的能力，培养英语思考的思维方式；（3）坚持财税专业素质与人文素养并重，引导学生关注中国的大国实力和国际地位的提升，培养民族自豪感；学习、宣传和贯彻中国特色社会主义公共财政理论与实践，坚定“四个自信”；引导学生正确看待外媒涉华言论，明辨是非，理性分析中外思维差异，在此基础上讲好中国故事，传播好中国声音。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</w:rPr>
        <w:t xml:space="preserve">教学内容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cs="Times New Roman"/>
          <w:sz w:val="24"/>
          <w:lang w:eastAsia="zh-CN"/>
        </w:rPr>
      </w:pPr>
      <w:r>
        <w:rPr>
          <w:rFonts w:hint="eastAsia" w:cs="Times New Roman"/>
          <w:sz w:val="24"/>
          <w:lang w:val="en-US" w:eastAsia="zh-CN"/>
        </w:rPr>
        <w:t xml:space="preserve">Chapter 1 </w:t>
      </w:r>
      <w:r>
        <w:rPr>
          <w:rFonts w:hint="default" w:cs="Times New Roman"/>
          <w:sz w:val="24"/>
          <w:lang w:eastAsia="zh-CN"/>
        </w:rPr>
        <w:t>Public Finance and Government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1.1 Public Finance and Ideology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1.2 What is Government?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 xml:space="preserve">Chapter </w:t>
      </w:r>
      <w:r>
        <w:rPr>
          <w:rFonts w:hint="default" w:cs="Times New Roman"/>
          <w:sz w:val="24"/>
          <w:lang w:eastAsia="zh-CN"/>
        </w:rPr>
        <w:t xml:space="preserve">2 </w:t>
      </w:r>
      <w:r>
        <w:rPr>
          <w:rFonts w:hint="eastAsia" w:cs="Times New Roman"/>
          <w:sz w:val="24"/>
          <w:lang w:val="en-US" w:eastAsia="zh-CN"/>
        </w:rPr>
        <w:t>Market and Government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1.1 Market Failure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1.2 Government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1.3 The Allocation of Resources between Government and Private Use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3 Externalities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3.1 What are Externalities?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3.2 The Coase Theorem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 xml:space="preserve">Chapter 4 Government Expenditure Analysis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4.1 The Positive Approach and the Normative Approach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4.2 The Theory of Public Expenditure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4.3 Classification of Public Expenditure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4.4 What is Expenditure Analysis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4.5 Cost-benefit Analysis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5 Social Security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5.1 The History of Social Security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5.2 What is Social Security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5.3 What is Social Insurance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 xml:space="preserve">Chapter 6 </w:t>
      </w:r>
      <w:r>
        <w:rPr>
          <w:rFonts w:hint="default" w:cs="Times New Roman"/>
          <w:sz w:val="24"/>
          <w:lang w:eastAsia="zh-CN"/>
        </w:rPr>
        <w:t>Principles of Taxation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6.1 What Makes a Good Tax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6.2 Three Tax Criteria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6.3 Philosophical Views Concerning Taxes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7 Basic Concepts of Taxes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7.1 Tax Base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7.2 The Tax Rate Structure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7.</w:t>
      </w:r>
      <w:r>
        <w:rPr>
          <w:rFonts w:hint="default"/>
          <w:sz w:val="24"/>
          <w:lang w:eastAsia="zh-CN"/>
        </w:rPr>
        <w:t xml:space="preserve">3 </w:t>
      </w:r>
      <w:r>
        <w:rPr>
          <w:rFonts w:hint="eastAsia"/>
          <w:sz w:val="24"/>
          <w:lang w:val="en-US" w:eastAsia="zh-CN"/>
        </w:rPr>
        <w:t>The Classification of Taxes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8</w:t>
      </w:r>
      <w:r>
        <w:rPr>
          <w:rFonts w:hint="default" w:cs="Times New Roman"/>
          <w:sz w:val="24"/>
          <w:lang w:eastAsia="zh-CN"/>
        </w:rPr>
        <w:t xml:space="preserve"> </w:t>
      </w:r>
      <w:r>
        <w:rPr>
          <w:rFonts w:hint="eastAsia" w:cs="Times New Roman"/>
          <w:sz w:val="24"/>
          <w:lang w:val="en-US" w:eastAsia="zh-CN"/>
        </w:rPr>
        <w:t>Fees and Charges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8.1 The distinctions between Taxes and Fees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8.2 Types of Fees and Charges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8.3 Equity Issues and Efficiency Issues in Fees and Charges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9 Public Debts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9.1 The Classification of Public Debts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9.2 The Economic Impact of Public Debt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9.3 Fiscal Solvency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10</w:t>
      </w:r>
      <w:r>
        <w:rPr>
          <w:rFonts w:hint="default" w:cs="Times New Roman"/>
          <w:sz w:val="24"/>
          <w:lang w:eastAsia="zh-CN"/>
        </w:rPr>
        <w:t xml:space="preserve"> </w:t>
      </w:r>
      <w:r>
        <w:rPr>
          <w:rFonts w:hint="eastAsia" w:cs="Times New Roman"/>
          <w:sz w:val="24"/>
          <w:lang w:val="en-US" w:eastAsia="zh-CN"/>
        </w:rPr>
        <w:t>Budget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10.1 Revenue Forecasting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10.2 Budget Expenditure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10.3 Program, Performance, and Zero-Based Budgeting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10.4 Two Approaches to Budgetary Policy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11 Intergovernmental fiscal relationship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11.1 Centralization and Decentralization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11.2 Rigid Separation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11.3 Tax-Sharing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11.4 Grants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Chapter 12 Fiscal Policy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 w:ascii="Times New Roman" w:eastAsia="宋体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 w:ascii="Times New Roman" w:eastAsia="宋体"/>
          <w:sz w:val="24"/>
          <w:lang w:val="en-US" w:eastAsia="zh-CN"/>
        </w:rPr>
        <w:t xml:space="preserve">.1 </w:t>
      </w:r>
      <w:r>
        <w:rPr>
          <w:rFonts w:hint="eastAsia"/>
          <w:sz w:val="24"/>
          <w:lang w:val="en-US" w:eastAsia="zh-CN"/>
        </w:rPr>
        <w:t>Multiplier Effects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 w:ascii="Times New Roman" w:eastAsia="宋体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 w:ascii="Times New Roman" w:eastAsia="宋体"/>
          <w:sz w:val="24"/>
          <w:lang w:val="en-US" w:eastAsia="zh-CN"/>
        </w:rPr>
        <w:t>.2</w:t>
      </w:r>
      <w:r>
        <w:rPr>
          <w:rFonts w:hint="eastAsia"/>
          <w:sz w:val="24"/>
          <w:lang w:val="en-US" w:eastAsia="zh-CN"/>
        </w:rPr>
        <w:t xml:space="preserve"> Fiscal Policy: a Numerical Example</w:t>
      </w:r>
      <w:r>
        <w:rPr>
          <w:rFonts w:hint="eastAsia" w:ascii="Times New Roman" w:eastAsia="宋体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 w:ascii="Times New Roman" w:eastAsia="宋体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 w:ascii="Times New Roman" w:eastAsia="宋体"/>
          <w:sz w:val="24"/>
          <w:lang w:val="en-US" w:eastAsia="zh-CN"/>
        </w:rPr>
        <w:t xml:space="preserve">.3 </w:t>
      </w:r>
      <w:r>
        <w:rPr>
          <w:rFonts w:hint="eastAsia"/>
          <w:sz w:val="24"/>
          <w:lang w:val="en-US" w:eastAsia="zh-CN"/>
        </w:rPr>
        <w:t>The Effect of Fiscal Policy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Times New Roman"/>
          <w:sz w:val="24"/>
          <w:lang w:val="en-US" w:eastAsia="zh-CN"/>
        </w:rPr>
      </w:pPr>
      <w:r>
        <w:rPr>
          <w:rFonts w:hint="eastAsia" w:ascii="Times New Roman" w:eastAsia="宋体"/>
          <w:sz w:val="24"/>
          <w:lang w:val="en-US" w:eastAsia="zh-CN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 w:ascii="Times New Roman" w:eastAsia="宋体"/>
          <w:sz w:val="24"/>
          <w:lang w:val="en-US" w:eastAsia="zh-CN"/>
        </w:rPr>
        <w:t>.4 The Classification of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Times New Roman" w:eastAsia="宋体"/>
          <w:sz w:val="24"/>
          <w:lang w:val="en-US" w:eastAsia="zh-CN"/>
        </w:rPr>
        <w:t>Fiscal Policy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各教学环节学时分配</w:t>
      </w:r>
    </w:p>
    <w:p>
      <w:pPr>
        <w:numPr>
          <w:ilvl w:val="0"/>
          <w:numId w:val="0"/>
        </w:numPr>
        <w:spacing w:line="360" w:lineRule="exact"/>
        <w:ind w:leftChars="0"/>
        <w:rPr>
          <w:rFonts w:hint="eastAsia" w:ascii="黑体" w:eastAsia="黑体"/>
          <w:sz w:val="24"/>
        </w:rPr>
      </w:pPr>
    </w:p>
    <w:tbl>
      <w:tblPr>
        <w:tblStyle w:val="3"/>
        <w:tblW w:w="833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  <w:noWrap w:val="0"/>
            <w:vAlign w:val="top"/>
          </w:tcPr>
          <w:p>
            <w:pPr>
              <w:pStyle w:val="2"/>
              <w:ind w:left="0" w:firstLine="1857" w:firstLineChars="925"/>
              <w:rPr>
                <w:rFonts w:hint="eastAsia"/>
                <w:b/>
              </w:rPr>
            </w:pPr>
            <w:r>
              <w:rPr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3175" t="3810" r="12700" b="88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7.6pt;margin-top:-0.5pt;height:78pt;width:99.75pt;z-index:251659264;mso-width-relative:page;mso-height-relative:page;" filled="f" stroked="t" coordsize="21600,21600" o:gfxdata="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plDH9QAAAAJAQAADwAAAAAAAAABACAAAAAiAAAAZHJzL2Rv&#10;d25yZXYueG1sUEsBAhQAFAAAAAgAh07iQBgx48EFAgAA/QMAAA4AAAAAAAAAAQAgAAAAIw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</w:rPr>
              <w:t>教学环节</w:t>
            </w:r>
          </w:p>
          <w:p>
            <w:pPr>
              <w:pStyle w:val="2"/>
              <w:ind w:left="0" w:firstLine="843" w:firstLineChars="400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ind w:left="359" w:leftChars="171" w:firstLine="422" w:firstLineChars="20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>
            <w:pPr>
              <w:pStyle w:val="2"/>
              <w:ind w:left="359" w:leftChars="171" w:firstLine="402" w:firstLineChars="200"/>
              <w:rPr>
                <w:rFonts w:hint="eastAsia"/>
                <w:b/>
              </w:rPr>
            </w:pPr>
            <w:r>
              <w:rPr>
                <w:b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270" t="4445" r="825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4.4pt;margin-top:-0.2pt;height:31.2pt;width:152.25pt;z-index:251660288;mso-width-relative:page;mso-height-relative:page;" filled="f" stroked="t" coordsize="21600,21600" o:gfxdata="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o6ssK0wAAAAcBAAAPAAAAAAAAAAEAIAAAACIAAABkcnMvZG93&#10;bnJldi54bWxQSwECFAAUAAAACACHTuJAymndYwUCAAD9AwAADgAAAAAAAAABACAAAAAi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2"/>
              <w:ind w:left="0" w:firstLine="0" w:firstLineChars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</w:p>
          <w:p>
            <w:pPr>
              <w:pStyle w:val="2"/>
              <w:ind w:left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第五章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第六章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第七章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第八章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第九章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第十章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第十一章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第十二章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beforeLines="0" w:afterLines="0"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复习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eastAsia="宋体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考试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noWrap w:val="0"/>
            <w:vAlign w:val="center"/>
          </w:tcPr>
          <w:p>
            <w:pPr>
              <w:tabs>
                <w:tab w:val="left" w:pos="0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pStyle w:val="2"/>
              <w:ind w:left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</w:tr>
    </w:tbl>
    <w:p>
      <w:pPr>
        <w:spacing w:line="360" w:lineRule="exact"/>
        <w:ind w:left="4656" w:hanging="4656" w:hangingChars="1940"/>
        <w:rPr>
          <w:rFonts w:hint="eastAsia" w:ascii="黑体" w:eastAsia="黑体"/>
          <w:sz w:val="24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推荐教材和教学参考资源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(一)参考用书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蒋洪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  <w:lang w:val="en-US" w:eastAsia="zh-CN"/>
        </w:rPr>
        <w:t>申燕主编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  <w:lang w:val="en-US" w:eastAsia="zh-CN"/>
        </w:rPr>
        <w:t>《财税专业英语》</w:t>
      </w:r>
      <w:r>
        <w:rPr>
          <w:rFonts w:hint="default" w:ascii="宋体" w:hAnsi="宋体"/>
          <w:sz w:val="24"/>
          <w:lang w:eastAsia="zh-CN"/>
        </w:rPr>
        <w:t>（第五版）</w:t>
      </w:r>
      <w:r>
        <w:rPr>
          <w:rFonts w:hint="eastAsia" w:ascii="宋体" w:hAnsi="宋体"/>
          <w:sz w:val="24"/>
          <w:lang w:val="en-US" w:eastAsia="zh-CN"/>
        </w:rPr>
        <w:t>，首都经济贸易大学出版社，20</w:t>
      </w:r>
      <w:r>
        <w:rPr>
          <w:rFonts w:hint="eastAsia" w:ascii="宋体" w:hAnsi="宋体"/>
          <w:sz w:val="24"/>
          <w:lang w:eastAsia="zh-CN"/>
        </w:rPr>
        <w:t>19</w:t>
      </w:r>
      <w:r>
        <w:rPr>
          <w:rFonts w:hint="eastAsia" w:ascii="宋体" w:hAnsi="宋体"/>
          <w:sz w:val="24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Harvey Rosen, Ted Gayer. Public Finance (10th ed.). People's University of China Press, 2015.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David Hyman: Public Finance: Theory, Policy and Practice (10th ed.). Beijing University Press, 2015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（二）慕课资源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西南财经大学：《财经英语看世界》，中国大学慕课.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lang w:val="en-US" w:eastAsia="zh-CN"/>
        </w:rPr>
        <w:instrText xml:space="preserve"> HYPERLINK "https://www.icourse163.org/course/CUEB-1002986005" </w:instrText>
      </w:r>
      <w:r>
        <w:rPr>
          <w:rFonts w:hint="eastAsia" w:ascii="宋体" w:hAnsi="宋体"/>
          <w:sz w:val="24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sz w:val="24"/>
          <w:lang w:val="en-US" w:eastAsia="zh-CN"/>
        </w:rPr>
        <w:t>https://www.icourse163.org/course/CUEB-1002986005</w:t>
      </w:r>
      <w:r>
        <w:rPr>
          <w:rFonts w:hint="eastAsia" w:ascii="宋体" w:hAnsi="宋体"/>
          <w:sz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560" w:firstLineChars="200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（三）微信公众号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财经英语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吾友咨询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中国日报双语新闻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560" w:firstLineChars="200"/>
        <w:textAlignment w:val="auto"/>
        <w:rPr>
          <w:rFonts w:hint="eastAsia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（四）阅读文献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International Monetary Fund: Fiscal Monitor.Washington,DC: International Monetary Fund, 2020-2022.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我国2008至2022年历年预算报告英文版。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 xml:space="preserve">其他说明   </w:t>
      </w:r>
    </w:p>
    <w:p>
      <w:pPr>
        <w:spacing w:line="360" w:lineRule="exact"/>
        <w:ind w:left="4656" w:hanging="4656" w:hangingChars="1940"/>
        <w:rPr>
          <w:rFonts w:ascii="宋体" w:hAnsi="宋体"/>
          <w:color w:val="FF0000"/>
          <w:sz w:val="24"/>
        </w:rPr>
      </w:pPr>
      <w:r>
        <w:rPr>
          <w:rFonts w:hint="eastAsia" w:ascii="黑体" w:eastAsia="黑体"/>
          <w:color w:val="FF0000"/>
          <w:sz w:val="24"/>
        </w:rPr>
        <w:t xml:space="preserve">           </w:t>
      </w:r>
      <w:r>
        <w:rPr>
          <w:rFonts w:hint="eastAsia" w:ascii="宋体" w:hAnsi="宋体"/>
          <w:color w:val="FF0000"/>
          <w:sz w:val="24"/>
        </w:rPr>
        <w:t xml:space="preserve"> 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本课程采取</w:t>
      </w:r>
      <w:r>
        <w:rPr>
          <w:rFonts w:hint="eastAsia" w:ascii="宋体" w:hAnsi="宋体"/>
          <w:sz w:val="24"/>
          <w:lang w:val="en-US" w:eastAsia="zh-CN"/>
        </w:rPr>
        <w:t>讲授、练习</w:t>
      </w:r>
      <w:r>
        <w:rPr>
          <w:rFonts w:hint="eastAsia" w:ascii="宋体" w:hAnsi="宋体"/>
          <w:sz w:val="24"/>
        </w:rPr>
        <w:t>与</w:t>
      </w:r>
      <w:r>
        <w:rPr>
          <w:rFonts w:hint="eastAsia" w:ascii="宋体" w:hAnsi="宋体"/>
          <w:sz w:val="24"/>
          <w:lang w:val="en-US" w:eastAsia="zh-CN"/>
        </w:rPr>
        <w:t>学生发表</w:t>
      </w:r>
      <w:r>
        <w:rPr>
          <w:rFonts w:hint="eastAsia" w:ascii="宋体" w:hAnsi="宋体"/>
          <w:sz w:val="24"/>
        </w:rPr>
        <w:t>相结合的形式，加之该课程与不断变化的</w:t>
      </w:r>
      <w:r>
        <w:rPr>
          <w:rFonts w:hint="eastAsia" w:ascii="宋体" w:hAnsi="宋体"/>
          <w:sz w:val="24"/>
          <w:lang w:val="en-US" w:eastAsia="zh-CN"/>
        </w:rPr>
        <w:t>国内外财政收支运行与体制改革形势变化</w:t>
      </w:r>
      <w:r>
        <w:rPr>
          <w:rFonts w:hint="eastAsia" w:ascii="宋体" w:hAnsi="宋体"/>
          <w:sz w:val="24"/>
        </w:rPr>
        <w:t>密切相关，所以本大纲中有关内容设计</w:t>
      </w:r>
      <w:r>
        <w:rPr>
          <w:rFonts w:hint="eastAsia" w:ascii="宋体" w:hAnsi="宋体"/>
          <w:sz w:val="24"/>
          <w:lang w:val="en-US" w:eastAsia="zh-CN"/>
        </w:rPr>
        <w:t>并非</w:t>
      </w:r>
      <w:r>
        <w:rPr>
          <w:rFonts w:hint="eastAsia" w:ascii="宋体" w:hAnsi="宋体"/>
          <w:sz w:val="24"/>
        </w:rPr>
        <w:t>固定不变，授课教师除根据大纲选择专题进行授课外，也可根据实际自选专题进行增添或删减。</w:t>
      </w:r>
    </w:p>
    <w:p>
      <w:pPr>
        <w:spacing w:line="360" w:lineRule="exact"/>
        <w:ind w:left="4656" w:hanging="4656" w:hangingChars="1940"/>
        <w:rPr>
          <w:rFonts w:ascii="宋体" w:hAnsi="宋体"/>
          <w:color w:val="FF0000"/>
          <w:sz w:val="24"/>
        </w:rPr>
      </w:pPr>
    </w:p>
    <w:p>
      <w:pPr>
        <w:spacing w:line="360" w:lineRule="exact"/>
        <w:ind w:left="4656" w:hanging="4656" w:hangingChars="1940"/>
        <w:rPr>
          <w:rFonts w:hint="eastAsia" w:ascii="宋体" w:hAnsi="宋体"/>
          <w:color w:val="FF0000"/>
          <w:sz w:val="24"/>
        </w:rPr>
      </w:pP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大纲修订人：方元子                       修订日期：20</w:t>
      </w:r>
      <w:r>
        <w:rPr>
          <w:rFonts w:hint="eastAsia" w:ascii="宋体" w:hAnsi="宋体"/>
          <w:color w:val="000000"/>
          <w:sz w:val="24"/>
          <w:lang w:val="en-US" w:eastAsia="zh-CN"/>
        </w:rPr>
        <w:t>22</w:t>
      </w:r>
      <w:r>
        <w:rPr>
          <w:rFonts w:hint="eastAsia" w:ascii="宋体" w:hAnsi="宋体"/>
          <w:color w:val="000000"/>
          <w:sz w:val="24"/>
        </w:rPr>
        <w:t xml:space="preserve">年8月 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大纲审定人：                             审定日期：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Times New Roman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17D9D"/>
    <w:multiLevelType w:val="singleLevel"/>
    <w:tmpl w:val="E1617D9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36E0A98"/>
    <w:multiLevelType w:val="singleLevel"/>
    <w:tmpl w:val="136E0A9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000000"/>
    <w:rsid w:val="0954007A"/>
    <w:rsid w:val="1219570D"/>
    <w:rsid w:val="4573430F"/>
    <w:rsid w:val="6C6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left="363" w:hanging="363" w:hangingChars="173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1032</Words>
  <Characters>2486</Characters>
  <Lines>0</Lines>
  <Paragraphs>0</Paragraphs>
  <TotalTime>34</TotalTime>
  <ScaleCrop>false</ScaleCrop>
  <LinksUpToDate>false</LinksUpToDate>
  <CharactersWithSpaces>2804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2022-07-16T15:31:00Z</dcterms:created>
  <dc:creator>45350</dc:creator>
  <cp:lastModifiedBy>元子</cp:lastModifiedBy>
  <dcterms:modified xsi:type="dcterms:W3CDTF">2022-09-09T07:16:08Z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66BD703775BF4F619FE0072F93343BDD</vt:lpwstr>
  </property>
</Properties>
</file>