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宋体" w:hAnsi="宋体" w:eastAsia="宋体" w:cs="宋体"/>
          <w:i w:val="0"/>
          <w:caps w:val="0"/>
          <w:color w:val="302C30"/>
          <w:spacing w:val="0"/>
          <w:sz w:val="43"/>
          <w:szCs w:val="43"/>
          <w:shd w:val="clear" w:fill="FFFFFF"/>
          <w:vertAlign w:val="baseline"/>
          <w:lang w:eastAsia="zh-CN"/>
        </w:rPr>
      </w:pPr>
      <w:r>
        <w:rPr>
          <w:rStyle w:val="5"/>
          <w:rFonts w:hint="eastAsia" w:ascii="宋体" w:hAnsi="宋体" w:eastAsia="宋体" w:cs="宋体"/>
          <w:i w:val="0"/>
          <w:caps w:val="0"/>
          <w:color w:val="302C30"/>
          <w:spacing w:val="0"/>
          <w:sz w:val="43"/>
          <w:szCs w:val="43"/>
          <w:shd w:val="clear" w:fill="FFFFFF"/>
          <w:vertAlign w:val="baseline"/>
          <w:lang w:eastAsia="zh-CN"/>
        </w:rPr>
        <w:drawing>
          <wp:inline distT="0" distB="0" distL="114300" distR="114300">
            <wp:extent cx="5268595" cy="971550"/>
            <wp:effectExtent l="0" t="0" r="8255" b="0"/>
            <wp:docPr id="1" name="图片 1" descr="30112adca42614288d1e6aa434ef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112adca42614288d1e6aa434ef8c9"/>
                    <pic:cNvPicPr>
                      <a:picLocks noChangeAspect="1"/>
                    </pic:cNvPicPr>
                  </pic:nvPicPr>
                  <pic:blipFill>
                    <a:blip r:embed="rId5"/>
                    <a:stretch>
                      <a:fillRect/>
                    </a:stretch>
                  </pic:blipFill>
                  <pic:spPr>
                    <a:xfrm>
                      <a:off x="0" y="0"/>
                      <a:ext cx="5268595" cy="971550"/>
                    </a:xfrm>
                    <a:prstGeom prst="rect">
                      <a:avLst/>
                    </a:prstGeom>
                  </pic:spPr>
                </pic:pic>
              </a:graphicData>
            </a:graphic>
          </wp:inline>
        </w:drawing>
      </w:r>
    </w:p>
    <w:p>
      <w:pPr>
        <w:jc w:val="right"/>
        <w:rPr>
          <w:rStyle w:val="5"/>
          <w:rFonts w:hint="default"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粤财大教〔2020〕39号</w:t>
      </w:r>
    </w:p>
    <w:p>
      <w:pPr>
        <w:jc w:val="center"/>
        <w:rPr>
          <w:rStyle w:val="5"/>
          <w:rFonts w:hint="eastAsia" w:ascii="宋体" w:hAnsi="宋体" w:eastAsia="宋体" w:cs="宋体"/>
          <w:i w:val="0"/>
          <w:caps w:val="0"/>
          <w:color w:val="302C30"/>
          <w:spacing w:val="0"/>
          <w:sz w:val="44"/>
          <w:szCs w:val="44"/>
          <w:shd w:val="clear" w:fill="FFFFFF"/>
          <w:vertAlign w:val="baseline"/>
        </w:rPr>
      </w:pPr>
      <w:r>
        <w:rPr>
          <w:rStyle w:val="5"/>
          <w:rFonts w:hint="eastAsia" w:ascii="宋体" w:hAnsi="宋体" w:eastAsia="宋体" w:cs="宋体"/>
          <w:i w:val="0"/>
          <w:caps w:val="0"/>
          <w:color w:val="302C30"/>
          <w:spacing w:val="0"/>
          <w:sz w:val="44"/>
          <w:szCs w:val="44"/>
          <w:shd w:val="clear" w:fill="FFFFFF"/>
          <w:vertAlign w:val="baseline"/>
        </w:rPr>
        <w:t>关于公布20</w:t>
      </w:r>
      <w:r>
        <w:rPr>
          <w:rStyle w:val="5"/>
          <w:rFonts w:hint="eastAsia" w:ascii="宋体" w:hAnsi="宋体" w:eastAsia="宋体" w:cs="宋体"/>
          <w:i w:val="0"/>
          <w:caps w:val="0"/>
          <w:color w:val="302C30"/>
          <w:spacing w:val="0"/>
          <w:sz w:val="44"/>
          <w:szCs w:val="44"/>
          <w:shd w:val="clear" w:fill="FFFFFF"/>
          <w:vertAlign w:val="baseline"/>
          <w:lang w:val="en-US" w:eastAsia="zh-CN"/>
        </w:rPr>
        <w:t>20</w:t>
      </w:r>
      <w:r>
        <w:rPr>
          <w:rStyle w:val="5"/>
          <w:rFonts w:hint="eastAsia" w:ascii="宋体" w:hAnsi="宋体" w:eastAsia="宋体" w:cs="宋体"/>
          <w:i w:val="0"/>
          <w:caps w:val="0"/>
          <w:color w:val="302C30"/>
          <w:spacing w:val="0"/>
          <w:sz w:val="44"/>
          <w:szCs w:val="44"/>
          <w:shd w:val="clear" w:fill="FFFFFF"/>
          <w:vertAlign w:val="baseline"/>
        </w:rPr>
        <w:t>年度大学生创新创业训练计划项目结项结果的通知</w:t>
      </w:r>
    </w:p>
    <w:p>
      <w:pPr>
        <w:jc w:val="center"/>
        <w:rPr>
          <w:rStyle w:val="5"/>
          <w:rFonts w:hint="eastAsia" w:ascii="宋体" w:hAnsi="宋体" w:eastAsia="宋体" w:cs="宋体"/>
          <w:i w:val="0"/>
          <w:caps w:val="0"/>
          <w:color w:val="302C30"/>
          <w:spacing w:val="0"/>
          <w:sz w:val="44"/>
          <w:szCs w:val="44"/>
          <w:shd w:val="clear" w:fill="FFFFFF"/>
          <w:vertAlign w:val="baseline"/>
        </w:rPr>
      </w:pPr>
    </w:p>
    <w:p>
      <w:pPr>
        <w:jc w:val="both"/>
        <w:rPr>
          <w:rStyle w:val="5"/>
          <w:rFonts w:hint="eastAsia" w:ascii="宋体" w:hAnsi="宋体" w:eastAsia="宋体" w:cs="宋体"/>
          <w:b w:val="0"/>
          <w:bCs/>
          <w:i w:val="0"/>
          <w:caps w:val="0"/>
          <w:color w:val="302C30"/>
          <w:spacing w:val="0"/>
          <w:sz w:val="28"/>
          <w:szCs w:val="28"/>
          <w:shd w:val="clear" w:fill="FFFFFF"/>
          <w:vertAlign w:val="baseline"/>
        </w:rPr>
      </w:pPr>
      <w:r>
        <w:rPr>
          <w:rStyle w:val="5"/>
          <w:rFonts w:hint="eastAsia" w:ascii="宋体" w:hAnsi="宋体" w:eastAsia="宋体" w:cs="宋体"/>
          <w:b w:val="0"/>
          <w:bCs/>
          <w:i w:val="0"/>
          <w:caps w:val="0"/>
          <w:color w:val="302C30"/>
          <w:spacing w:val="0"/>
          <w:sz w:val="28"/>
          <w:szCs w:val="28"/>
          <w:shd w:val="clear" w:fill="FFFFFF"/>
          <w:vertAlign w:val="baseline"/>
        </w:rPr>
        <w:t>各相关学院、各大学生创新创业训练项目组：</w:t>
      </w:r>
    </w:p>
    <w:p>
      <w:pPr>
        <w:ind w:firstLine="560"/>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根据《关于开展2020年度大学生创新创业训练计划项目结项验收工作的通知》（粤财大教〔2020〕35号），教务处组织开展了2020年度大学生创新创业训练计划项目结项验收工作。经学院初审、教务处组织专家评审，现公布结项结果并对后续工作安排如下：</w:t>
      </w:r>
    </w:p>
    <w:p>
      <w:pPr>
        <w:numPr>
          <w:ilvl w:val="0"/>
          <w:numId w:val="1"/>
        </w:numPr>
        <w:ind w:firstLine="560"/>
        <w:jc w:val="both"/>
        <w:rPr>
          <w:rStyle w:val="5"/>
          <w:rFonts w:hint="eastAsia" w:ascii="宋体" w:hAnsi="宋体" w:eastAsia="宋体" w:cs="宋体"/>
          <w:b/>
          <w:bCs w:val="0"/>
          <w:i w:val="0"/>
          <w:caps w:val="0"/>
          <w:color w:val="302C30"/>
          <w:spacing w:val="0"/>
          <w:sz w:val="28"/>
          <w:szCs w:val="28"/>
          <w:shd w:val="clear" w:fill="FFFFFF"/>
          <w:vertAlign w:val="baseline"/>
          <w:lang w:val="en-US" w:eastAsia="zh-CN"/>
        </w:rPr>
      </w:pPr>
      <w:r>
        <w:rPr>
          <w:rStyle w:val="5"/>
          <w:rFonts w:hint="eastAsia" w:ascii="宋体" w:hAnsi="宋体" w:eastAsia="宋体" w:cs="宋体"/>
          <w:b/>
          <w:bCs w:val="0"/>
          <w:i w:val="0"/>
          <w:caps w:val="0"/>
          <w:color w:val="302C30"/>
          <w:spacing w:val="0"/>
          <w:sz w:val="28"/>
          <w:szCs w:val="28"/>
          <w:shd w:val="clear" w:fill="FFFFFF"/>
          <w:vertAlign w:val="baseline"/>
          <w:lang w:val="en-US" w:eastAsia="zh-CN"/>
        </w:rPr>
        <w:t>结项结果</w:t>
      </w:r>
    </w:p>
    <w:p>
      <w:pPr>
        <w:numPr>
          <w:ilvl w:val="0"/>
          <w:numId w:val="0"/>
        </w:numPr>
        <w:ind w:firstLine="560"/>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农村土地流转纠纷的利益冲突、发生机理与治理路径研究》等46个项目通过结项验收，《这里那里》等1个项目不通过结项，取消项目。通过结项的项目按取得项目成果和结项质量划拨项目相应研究经费，不通过结项的项目不予划拨研究经费，只补拨启动经费，具体结项和经费拨付情况详见附件1。</w:t>
      </w:r>
    </w:p>
    <w:p>
      <w:pPr>
        <w:numPr>
          <w:ilvl w:val="0"/>
          <w:numId w:val="1"/>
        </w:numPr>
        <w:ind w:left="0" w:leftChars="0" w:firstLine="560" w:firstLineChars="0"/>
        <w:jc w:val="both"/>
        <w:rPr>
          <w:rStyle w:val="5"/>
          <w:rFonts w:hint="default" w:ascii="宋体" w:hAnsi="宋体" w:eastAsia="宋体" w:cs="宋体"/>
          <w:b/>
          <w:bCs w:val="0"/>
          <w:i w:val="0"/>
          <w:caps w:val="0"/>
          <w:color w:val="302C30"/>
          <w:spacing w:val="0"/>
          <w:sz w:val="28"/>
          <w:szCs w:val="28"/>
          <w:shd w:val="clear" w:fill="FFFFFF"/>
          <w:vertAlign w:val="baseline"/>
          <w:lang w:val="en-US" w:eastAsia="zh-CN"/>
        </w:rPr>
      </w:pPr>
      <w:r>
        <w:rPr>
          <w:rStyle w:val="5"/>
          <w:rFonts w:hint="default" w:ascii="宋体" w:hAnsi="宋体" w:eastAsia="宋体" w:cs="宋体"/>
          <w:b/>
          <w:bCs w:val="0"/>
          <w:i w:val="0"/>
          <w:caps w:val="0"/>
          <w:color w:val="302C30"/>
          <w:spacing w:val="0"/>
          <w:sz w:val="28"/>
          <w:szCs w:val="28"/>
          <w:shd w:val="clear" w:fill="FFFFFF"/>
          <w:vertAlign w:val="baseline"/>
          <w:lang w:val="en-US" w:eastAsia="zh-CN"/>
        </w:rPr>
        <w:t>经费报销事宜</w:t>
      </w:r>
    </w:p>
    <w:p>
      <w:pPr>
        <w:numPr>
          <w:ilvl w:val="0"/>
          <w:numId w:val="0"/>
        </w:numPr>
        <w:ind w:left="560" w:leftChars="0"/>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default" w:ascii="宋体" w:hAnsi="宋体" w:eastAsia="宋体" w:cs="宋体"/>
          <w:b w:val="0"/>
          <w:bCs/>
          <w:i w:val="0"/>
          <w:caps w:val="0"/>
          <w:color w:val="302C30"/>
          <w:spacing w:val="0"/>
          <w:sz w:val="28"/>
          <w:szCs w:val="28"/>
          <w:shd w:val="clear" w:fill="FFFFFF"/>
          <w:vertAlign w:val="baseline"/>
          <w:lang w:val="en-US" w:eastAsia="zh-CN"/>
        </w:rPr>
        <w:t>本次所有项目经费报账采取网络报账形式</w:t>
      </w:r>
      <w:r>
        <w:rPr>
          <w:rStyle w:val="5"/>
          <w:rFonts w:hint="eastAsia" w:ascii="宋体" w:hAnsi="宋体" w:eastAsia="宋体" w:cs="宋体"/>
          <w:b w:val="0"/>
          <w:bCs/>
          <w:i w:val="0"/>
          <w:caps w:val="0"/>
          <w:color w:val="302C30"/>
          <w:spacing w:val="0"/>
          <w:sz w:val="28"/>
          <w:szCs w:val="28"/>
          <w:shd w:val="clear" w:fill="FFFFFF"/>
          <w:vertAlign w:val="baseline"/>
          <w:lang w:val="en-US" w:eastAsia="zh-CN"/>
        </w:rPr>
        <w:t>，具体报销操作流程详</w:t>
      </w:r>
    </w:p>
    <w:p>
      <w:pPr>
        <w:numPr>
          <w:ilvl w:val="0"/>
          <w:numId w:val="0"/>
        </w:numPr>
        <w:jc w:val="both"/>
        <w:rPr>
          <w:rStyle w:val="5"/>
          <w:rFonts w:hint="default"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见附件2。所有经费要求在6月30日前完成50%的支付进度，9月30日前至少完成75%的支付进度，11月30日前完成100%的支付进度，逾期未完成支付的经费学校将收回统筹。</w:t>
      </w:r>
    </w:p>
    <w:p>
      <w:pPr>
        <w:numPr>
          <w:ilvl w:val="0"/>
          <w:numId w:val="1"/>
        </w:numPr>
        <w:ind w:left="0" w:leftChars="0" w:firstLine="560" w:firstLineChars="0"/>
        <w:jc w:val="both"/>
        <w:rPr>
          <w:rStyle w:val="5"/>
          <w:rFonts w:hint="eastAsia" w:ascii="宋体" w:hAnsi="宋体" w:eastAsia="宋体" w:cs="宋体"/>
          <w:b/>
          <w:bCs w:val="0"/>
          <w:i w:val="0"/>
          <w:caps w:val="0"/>
          <w:color w:val="302C30"/>
          <w:spacing w:val="0"/>
          <w:sz w:val="28"/>
          <w:szCs w:val="28"/>
          <w:shd w:val="clear" w:fill="FFFFFF"/>
          <w:vertAlign w:val="baseline"/>
          <w:lang w:val="en-US" w:eastAsia="zh-CN"/>
        </w:rPr>
      </w:pPr>
      <w:r>
        <w:rPr>
          <w:rStyle w:val="5"/>
          <w:rFonts w:hint="eastAsia" w:ascii="宋体" w:hAnsi="宋体" w:eastAsia="宋体" w:cs="宋体"/>
          <w:b/>
          <w:bCs w:val="0"/>
          <w:i w:val="0"/>
          <w:caps w:val="0"/>
          <w:color w:val="302C30"/>
          <w:spacing w:val="0"/>
          <w:sz w:val="28"/>
          <w:szCs w:val="28"/>
          <w:shd w:val="clear" w:fill="FFFFFF"/>
          <w:vertAlign w:val="baseline"/>
          <w:lang w:val="en-US" w:eastAsia="zh-CN"/>
        </w:rPr>
        <w:t>项目结项证书</w:t>
      </w:r>
    </w:p>
    <w:p>
      <w:pPr>
        <w:numPr>
          <w:ilvl w:val="0"/>
          <w:numId w:val="0"/>
        </w:numPr>
        <w:ind w:left="560" w:leftChars="0"/>
        <w:jc w:val="both"/>
        <w:rPr>
          <w:rStyle w:val="5"/>
          <w:rFonts w:hint="default"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通过结项的项目将颁发</w:t>
      </w:r>
      <w:r>
        <w:rPr>
          <w:rStyle w:val="5"/>
          <w:rFonts w:hint="default" w:ascii="宋体" w:hAnsi="宋体" w:eastAsia="宋体" w:cs="宋体"/>
          <w:b w:val="0"/>
          <w:bCs/>
          <w:i w:val="0"/>
          <w:caps w:val="0"/>
          <w:color w:val="302C30"/>
          <w:spacing w:val="0"/>
          <w:sz w:val="28"/>
          <w:szCs w:val="28"/>
          <w:shd w:val="clear" w:fill="FFFFFF"/>
          <w:vertAlign w:val="baseline"/>
          <w:lang w:val="en-US" w:eastAsia="zh-CN"/>
        </w:rPr>
        <w:t>结项证书（每项目一份），</w:t>
      </w:r>
      <w:r>
        <w:rPr>
          <w:rStyle w:val="5"/>
          <w:rFonts w:hint="eastAsia" w:ascii="宋体" w:hAnsi="宋体" w:eastAsia="宋体" w:cs="宋体"/>
          <w:b w:val="0"/>
          <w:bCs/>
          <w:i w:val="0"/>
          <w:caps w:val="0"/>
          <w:color w:val="302C30"/>
          <w:spacing w:val="0"/>
          <w:sz w:val="28"/>
          <w:szCs w:val="28"/>
          <w:shd w:val="clear" w:fill="FFFFFF"/>
          <w:vertAlign w:val="baseline"/>
          <w:lang w:val="en-US" w:eastAsia="zh-CN"/>
        </w:rPr>
        <w:t>证书</w:t>
      </w:r>
      <w:r>
        <w:rPr>
          <w:rStyle w:val="5"/>
          <w:rFonts w:hint="default" w:ascii="宋体" w:hAnsi="宋体" w:eastAsia="宋体" w:cs="宋体"/>
          <w:b w:val="0"/>
          <w:bCs/>
          <w:i w:val="0"/>
          <w:caps w:val="0"/>
          <w:color w:val="302C30"/>
          <w:spacing w:val="0"/>
          <w:sz w:val="28"/>
          <w:szCs w:val="28"/>
          <w:shd w:val="clear" w:fill="FFFFFF"/>
          <w:vertAlign w:val="baseline"/>
          <w:lang w:val="en-US" w:eastAsia="zh-CN"/>
        </w:rPr>
        <w:t>发放到项</w:t>
      </w:r>
    </w:p>
    <w:p>
      <w:pPr>
        <w:numPr>
          <w:ilvl w:val="0"/>
          <w:numId w:val="0"/>
        </w:numPr>
        <w:jc w:val="both"/>
        <w:rPr>
          <w:rStyle w:val="5"/>
          <w:rFonts w:hint="default" w:ascii="宋体" w:hAnsi="宋体" w:eastAsia="宋体" w:cs="宋体"/>
          <w:b w:val="0"/>
          <w:bCs/>
          <w:i w:val="0"/>
          <w:caps w:val="0"/>
          <w:color w:val="302C30"/>
          <w:spacing w:val="0"/>
          <w:sz w:val="28"/>
          <w:szCs w:val="28"/>
          <w:shd w:val="clear" w:fill="FFFFFF"/>
          <w:vertAlign w:val="baseline"/>
          <w:lang w:val="en-US" w:eastAsia="zh-CN"/>
        </w:rPr>
      </w:pPr>
      <w:r>
        <w:rPr>
          <w:rStyle w:val="5"/>
          <w:rFonts w:hint="default" w:ascii="宋体" w:hAnsi="宋体" w:eastAsia="宋体" w:cs="宋体"/>
          <w:b w:val="0"/>
          <w:bCs/>
          <w:i w:val="0"/>
          <w:caps w:val="0"/>
          <w:color w:val="302C30"/>
          <w:spacing w:val="0"/>
          <w:sz w:val="28"/>
          <w:szCs w:val="28"/>
          <w:shd w:val="clear" w:fill="FFFFFF"/>
          <w:vertAlign w:val="baseline"/>
          <w:lang w:val="en-US" w:eastAsia="zh-CN"/>
        </w:rPr>
        <w:t>目所属学院，</w:t>
      </w:r>
      <w:r>
        <w:rPr>
          <w:rStyle w:val="5"/>
          <w:rFonts w:hint="eastAsia" w:ascii="宋体" w:hAnsi="宋体" w:eastAsia="宋体" w:cs="宋体"/>
          <w:b w:val="0"/>
          <w:bCs/>
          <w:i w:val="0"/>
          <w:caps w:val="0"/>
          <w:color w:val="302C30"/>
          <w:spacing w:val="0"/>
          <w:sz w:val="28"/>
          <w:szCs w:val="28"/>
          <w:shd w:val="clear" w:fill="FFFFFF"/>
          <w:vertAlign w:val="baseline"/>
          <w:lang w:val="en-US" w:eastAsia="zh-CN"/>
        </w:rPr>
        <w:t>请</w:t>
      </w:r>
      <w:r>
        <w:rPr>
          <w:rStyle w:val="5"/>
          <w:rFonts w:hint="default" w:ascii="宋体" w:hAnsi="宋体" w:eastAsia="宋体" w:cs="宋体"/>
          <w:b w:val="0"/>
          <w:bCs/>
          <w:i w:val="0"/>
          <w:caps w:val="0"/>
          <w:color w:val="302C30"/>
          <w:spacing w:val="0"/>
          <w:sz w:val="28"/>
          <w:szCs w:val="28"/>
          <w:shd w:val="clear" w:fill="FFFFFF"/>
          <w:vertAlign w:val="baseline"/>
          <w:lang w:val="en-US" w:eastAsia="zh-CN"/>
        </w:rPr>
        <w:t>通过结项的项目</w:t>
      </w:r>
      <w:r>
        <w:rPr>
          <w:rStyle w:val="5"/>
          <w:rFonts w:hint="eastAsia" w:ascii="宋体" w:hAnsi="宋体" w:eastAsia="宋体" w:cs="宋体"/>
          <w:b w:val="0"/>
          <w:bCs/>
          <w:i w:val="0"/>
          <w:caps w:val="0"/>
          <w:color w:val="302C30"/>
          <w:spacing w:val="0"/>
          <w:sz w:val="28"/>
          <w:szCs w:val="28"/>
          <w:shd w:val="clear" w:fill="FFFFFF"/>
          <w:vertAlign w:val="baseline"/>
          <w:lang w:val="en-US" w:eastAsia="zh-CN"/>
        </w:rPr>
        <w:t>组成员</w:t>
      </w:r>
      <w:r>
        <w:rPr>
          <w:rStyle w:val="5"/>
          <w:rFonts w:hint="default" w:ascii="宋体" w:hAnsi="宋体" w:eastAsia="宋体" w:cs="宋体"/>
          <w:b w:val="0"/>
          <w:bCs/>
          <w:i w:val="0"/>
          <w:caps w:val="0"/>
          <w:color w:val="302C30"/>
          <w:spacing w:val="0"/>
          <w:sz w:val="28"/>
          <w:szCs w:val="28"/>
          <w:shd w:val="clear" w:fill="FFFFFF"/>
          <w:vertAlign w:val="baseline"/>
          <w:lang w:val="en-US" w:eastAsia="zh-CN"/>
        </w:rPr>
        <w:t>前往项目所属学院领取项目结项证书。</w:t>
      </w:r>
    </w:p>
    <w:p>
      <w:pPr>
        <w:numPr>
          <w:ilvl w:val="0"/>
          <w:numId w:val="0"/>
        </w:numPr>
        <w:ind w:firstLine="560"/>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附件：</w:t>
      </w: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1.2020年度大学生创新创业训练计划项目结项结果一览表</w:t>
      </w: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2.大学生创新创业训练项目经费使用说明</w:t>
      </w:r>
    </w:p>
    <w:p>
      <w:pPr>
        <w:numPr>
          <w:ilvl w:val="0"/>
          <w:numId w:val="0"/>
        </w:numPr>
        <w:ind w:firstLine="1024" w:firstLineChars="366"/>
        <w:jc w:val="both"/>
        <w:rPr>
          <w:rStyle w:val="5"/>
          <w:rFonts w:hint="default"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 xml:space="preserve">                                     教务处</w:t>
      </w: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r>
        <w:rPr>
          <w:rStyle w:val="5"/>
          <w:rFonts w:hint="eastAsia" w:ascii="宋体" w:hAnsi="宋体" w:eastAsia="宋体" w:cs="宋体"/>
          <w:b w:val="0"/>
          <w:bCs/>
          <w:i w:val="0"/>
          <w:caps w:val="0"/>
          <w:color w:val="302C30"/>
          <w:spacing w:val="0"/>
          <w:sz w:val="28"/>
          <w:szCs w:val="28"/>
          <w:shd w:val="clear" w:fill="FFFFFF"/>
          <w:vertAlign w:val="baseline"/>
          <w:lang w:val="en-US" w:eastAsia="zh-CN"/>
        </w:rPr>
        <w:t xml:space="preserve">                                  2020年6月4日</w:t>
      </w: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pPr>
    </w:p>
    <w:p>
      <w:pPr>
        <w:numPr>
          <w:ilvl w:val="0"/>
          <w:numId w:val="0"/>
        </w:numPr>
        <w:ind w:firstLine="1024" w:firstLineChars="366"/>
        <w:jc w:val="both"/>
        <w:rPr>
          <w:rStyle w:val="5"/>
          <w:rFonts w:hint="eastAsia" w:ascii="宋体" w:hAnsi="宋体" w:eastAsia="宋体" w:cs="宋体"/>
          <w:b w:val="0"/>
          <w:bCs/>
          <w:i w:val="0"/>
          <w:caps w:val="0"/>
          <w:color w:val="302C30"/>
          <w:spacing w:val="0"/>
          <w:sz w:val="28"/>
          <w:szCs w:val="28"/>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tbl>
      <w:tblPr>
        <w:tblStyle w:val="3"/>
        <w:tblW w:w="15930" w:type="dxa"/>
        <w:jc w:val="center"/>
        <w:shd w:val="clear" w:color="auto" w:fill="auto"/>
        <w:tblLayout w:type="autofit"/>
        <w:tblCellMar>
          <w:top w:w="0" w:type="dxa"/>
          <w:left w:w="0" w:type="dxa"/>
          <w:bottom w:w="0" w:type="dxa"/>
          <w:right w:w="0" w:type="dxa"/>
        </w:tblCellMar>
      </w:tblPr>
      <w:tblGrid>
        <w:gridCol w:w="588"/>
        <w:gridCol w:w="1396"/>
        <w:gridCol w:w="5222"/>
        <w:gridCol w:w="1302"/>
        <w:gridCol w:w="885"/>
        <w:gridCol w:w="1302"/>
        <w:gridCol w:w="1072"/>
        <w:gridCol w:w="1037"/>
        <w:gridCol w:w="956"/>
        <w:gridCol w:w="2170"/>
      </w:tblGrid>
      <w:tr>
        <w:tblPrEx>
          <w:shd w:val="clear" w:color="auto" w:fill="auto"/>
          <w:tblCellMar>
            <w:top w:w="0" w:type="dxa"/>
            <w:left w:w="0" w:type="dxa"/>
            <w:bottom w:w="0" w:type="dxa"/>
            <w:right w:w="0" w:type="dxa"/>
          </w:tblCellMar>
        </w:tblPrEx>
        <w:trPr>
          <w:trHeight w:val="660" w:hRule="atLeast"/>
          <w:jc w:val="center"/>
        </w:trPr>
        <w:tc>
          <w:tcPr>
            <w:tcW w:w="15939"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附件1：2020年度大学生创新创业训练计划项目结项结果一览表</w:t>
            </w:r>
          </w:p>
        </w:tc>
      </w:tr>
      <w:tr>
        <w:tblPrEx>
          <w:shd w:val="clear" w:color="auto" w:fill="auto"/>
          <w:tblCellMar>
            <w:top w:w="0" w:type="dxa"/>
            <w:left w:w="0" w:type="dxa"/>
            <w:bottom w:w="0" w:type="dxa"/>
            <w:right w:w="0" w:type="dxa"/>
          </w:tblCellMar>
        </w:tblPrEx>
        <w:trPr>
          <w:trHeight w:val="8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项目编号</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项目名称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项目类型</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项目负责人</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项目所在学院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立项等级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结项结论</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经费（万元）</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卡号</w:t>
            </w:r>
          </w:p>
        </w:tc>
      </w:tr>
      <w:tr>
        <w:tblPrEx>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201910592001</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区块链技术下的微公益组织项目资金管理模式创新</w:t>
            </w:r>
            <w:r>
              <w:rPr>
                <w:rStyle w:val="8"/>
                <w:rFonts w:eastAsia="仿宋"/>
                <w:lang w:val="en-US" w:eastAsia="zh-CN" w:bidi="ar"/>
              </w:rPr>
              <w:t>——</w:t>
            </w:r>
            <w:r>
              <w:rPr>
                <w:rStyle w:val="7"/>
                <w:lang w:val="en-US" w:eastAsia="zh-CN" w:bidi="ar"/>
              </w:rPr>
              <w:t>以粤港澳大湾区对接粤东西北地区的教育类项目为例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张家乐</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会计学院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202050205-080315202</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201910592002</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农村土地流转纠纷的利益冲突、发生机理与治理路径研究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朱珏蓉</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公共管理学院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202050205-080315203</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201910592003</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基于轮动效应和随机森林的</w:t>
            </w:r>
            <w:r>
              <w:rPr>
                <w:rStyle w:val="8"/>
                <w:rFonts w:eastAsia="仿宋"/>
                <w:lang w:val="en-US" w:eastAsia="zh-CN" w:bidi="ar"/>
              </w:rPr>
              <w:t>A</w:t>
            </w:r>
            <w:r>
              <w:rPr>
                <w:rStyle w:val="7"/>
                <w:lang w:val="en-US" w:eastAsia="zh-CN" w:bidi="ar"/>
              </w:rPr>
              <w:t>股市场选股策略研究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王帅</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金融学院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202050205-080315204</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201910592004</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稳健</w:t>
            </w:r>
            <w:r>
              <w:rPr>
                <w:rStyle w:val="8"/>
                <w:rFonts w:eastAsia="仿宋"/>
                <w:lang w:val="en-US" w:eastAsia="zh-CN" w:bidi="ar"/>
              </w:rPr>
              <w:t>ARMA-EGARCH-M</w:t>
            </w:r>
            <w:r>
              <w:rPr>
                <w:rStyle w:val="7"/>
                <w:lang w:val="en-US" w:eastAsia="zh-CN" w:bidi="ar"/>
              </w:rPr>
              <w:t>模型的构建及其在原油市场的应用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黄时文</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金融学院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202050205-080315205</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201910592005</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刑事辩护全覆盖制度实证研究</w:t>
            </w:r>
            <w:r>
              <w:rPr>
                <w:rStyle w:val="8"/>
                <w:rFonts w:eastAsia="仿宋"/>
                <w:lang w:val="en-US" w:eastAsia="zh-CN" w:bidi="ar"/>
              </w:rPr>
              <w:t>—</w:t>
            </w:r>
            <w:r>
              <w:rPr>
                <w:rStyle w:val="7"/>
                <w:lang w:val="en-US" w:eastAsia="zh-CN" w:bidi="ar"/>
              </w:rPr>
              <w:t>以广州市为例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李成秀</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法学院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202050205-080315206</w:t>
            </w:r>
          </w:p>
        </w:tc>
      </w:tr>
      <w:tr>
        <w:tblPrEx>
          <w:shd w:val="clear" w:color="auto" w:fill="auto"/>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201910592006</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贫困县青年农村创业者创业风险控制能力研究</w:t>
            </w:r>
            <w:r>
              <w:rPr>
                <w:rStyle w:val="8"/>
                <w:rFonts w:eastAsia="仿宋"/>
                <w:lang w:val="en-US" w:eastAsia="zh-CN" w:bidi="ar"/>
              </w:rPr>
              <w:t>——</w:t>
            </w:r>
            <w:r>
              <w:rPr>
                <w:rStyle w:val="7"/>
                <w:lang w:val="en-US" w:eastAsia="zh-CN" w:bidi="ar"/>
              </w:rPr>
              <w:t>基于</w:t>
            </w:r>
            <w:r>
              <w:rPr>
                <w:rStyle w:val="8"/>
                <w:rFonts w:eastAsia="仿宋"/>
                <w:lang w:val="en-US" w:eastAsia="zh-CN" w:bidi="ar"/>
              </w:rPr>
              <w:t>1000</w:t>
            </w:r>
            <w:r>
              <w:rPr>
                <w:rStyle w:val="7"/>
                <w:lang w:val="en-US" w:eastAsia="zh-CN" w:bidi="ar"/>
              </w:rPr>
              <w:t>位创业者的调查</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华倩怡</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202050205-080315207</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201910592007</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美国关税增加对中国机电和纺织出口的影响</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郑晓薇</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202050205-080315208</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201910592001X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氧密码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李林峰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202050205-080315209</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201910592002X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故事天使</w:t>
            </w:r>
            <w:r>
              <w:rPr>
                <w:rStyle w:val="8"/>
                <w:rFonts w:eastAsia="仿宋"/>
                <w:lang w:val="en-US" w:eastAsia="zh-CN" w:bidi="ar"/>
              </w:rPr>
              <w:t>——</w:t>
            </w:r>
            <w:r>
              <w:rPr>
                <w:rStyle w:val="7"/>
                <w:lang w:val="en-US" w:eastAsia="zh-CN" w:bidi="ar"/>
              </w:rPr>
              <w:t>贫困山区陪伴儿童成长公益项目</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李思萌</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202050205-080315210</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201910592003X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南沙跨境电商进出口大数据中心</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黄国铳</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国际商学院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国家级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202050205-080315211</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S201910592001</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基于跨界IP合作的中华老字号品牌形象升级与激活策略研究——以稻香村为例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江炜康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工商管理学院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202050205-080315212</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S201910592002</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面子观念、反馈寻求与大学生学业成就的关系实证研究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李雨</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工商管理学院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202050205-080315213</w:t>
            </w:r>
          </w:p>
        </w:tc>
      </w:tr>
      <w:tr>
        <w:tblPrEx>
          <w:shd w:val="clear" w:color="auto" w:fill="auto"/>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S201910592003</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8"/>
                <w:rFonts w:eastAsia="宋体"/>
                <w:lang w:val="en-US" w:eastAsia="zh-CN" w:bidi="ar"/>
              </w:rPr>
              <w:t>“</w:t>
            </w:r>
            <w:r>
              <w:rPr>
                <w:rStyle w:val="7"/>
                <w:lang w:val="en-US" w:eastAsia="zh-CN" w:bidi="ar"/>
              </w:rPr>
              <w:t>新型城镇化</w:t>
            </w:r>
            <w:r>
              <w:rPr>
                <w:rStyle w:val="8"/>
                <w:rFonts w:eastAsia="宋体"/>
                <w:lang w:val="en-US" w:eastAsia="zh-CN" w:bidi="ar"/>
              </w:rPr>
              <w:t>”</w:t>
            </w:r>
            <w:r>
              <w:rPr>
                <w:rStyle w:val="7"/>
                <w:lang w:val="en-US" w:eastAsia="zh-CN" w:bidi="ar"/>
              </w:rPr>
              <w:t>下红色资源的开发利用及其经济价值的研究</w:t>
            </w:r>
            <w:r>
              <w:rPr>
                <w:rStyle w:val="8"/>
                <w:rFonts w:eastAsia="宋体"/>
                <w:lang w:val="en-US" w:eastAsia="zh-CN" w:bidi="ar"/>
              </w:rPr>
              <w:t>—</w:t>
            </w:r>
            <w:r>
              <w:rPr>
                <w:rStyle w:val="7"/>
                <w:lang w:val="en-US" w:eastAsia="zh-CN" w:bidi="ar"/>
              </w:rPr>
              <w:t>以肇庆四会市和韶关为例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肖卓钊</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财政税务学院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202050205-080315214</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S201910592004</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粤港澳大湾区背景下广州旧小区微改造的</w:t>
            </w:r>
            <w:r>
              <w:rPr>
                <w:rStyle w:val="8"/>
                <w:rFonts w:eastAsia="仿宋"/>
                <w:lang w:val="en-US" w:eastAsia="zh-CN" w:bidi="ar"/>
              </w:rPr>
              <w:t>“</w:t>
            </w:r>
            <w:r>
              <w:rPr>
                <w:rStyle w:val="7"/>
                <w:lang w:val="en-US" w:eastAsia="zh-CN" w:bidi="ar"/>
              </w:rPr>
              <w:t>自循环</w:t>
            </w:r>
            <w:r>
              <w:rPr>
                <w:rStyle w:val="8"/>
                <w:rFonts w:eastAsia="仿宋"/>
                <w:lang w:val="en-US" w:eastAsia="zh-CN" w:bidi="ar"/>
              </w:rPr>
              <w:t>”</w:t>
            </w:r>
            <w:r>
              <w:rPr>
                <w:rStyle w:val="7"/>
                <w:lang w:val="en-US" w:eastAsia="zh-CN" w:bidi="ar"/>
              </w:rPr>
              <w:t>模式研究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吴铄生</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公共管理学院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202050205-080315215</w:t>
            </w:r>
          </w:p>
        </w:tc>
      </w:tr>
      <w:tr>
        <w:tblPrEx>
          <w:shd w:val="clear" w:color="auto" w:fill="auto"/>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S201910592005</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旅游型村落土地经营权流转对乡村秩序重构的影响机理研究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詹嘉灵、柯柳媚</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公共管理学院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202050205-080315216</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S201910592006</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佛山陶谷小镇转型升级背景下的创意人才集聚研究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陈淑意</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公共管理学院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202050205-080315217</w:t>
            </w:r>
          </w:p>
        </w:tc>
      </w:tr>
      <w:tr>
        <w:tblPrEx>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S201910592007</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城市外来人口参与社区治理的机制研究</w:t>
            </w:r>
            <w:r>
              <w:rPr>
                <w:rStyle w:val="8"/>
                <w:rFonts w:eastAsia="仿宋"/>
                <w:lang w:val="en-US" w:eastAsia="zh-CN" w:bidi="ar"/>
              </w:rPr>
              <w:t>——</w:t>
            </w:r>
            <w:r>
              <w:rPr>
                <w:rStyle w:val="7"/>
                <w:lang w:val="en-US" w:eastAsia="zh-CN" w:bidi="ar"/>
              </w:rPr>
              <w:t>以广州市白云区三元里街道为例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彭冬梅</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公共管理学院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202050205-080315218</w:t>
            </w:r>
          </w:p>
        </w:tc>
      </w:tr>
      <w:tr>
        <w:tblPrEx>
          <w:shd w:val="clear" w:color="auto" w:fill="auto"/>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S201910592008</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关于富川旅游扶贫现状的调研</w:t>
            </w:r>
            <w:r>
              <w:rPr>
                <w:rStyle w:val="8"/>
                <w:rFonts w:eastAsia="仿宋"/>
                <w:lang w:val="en-US" w:eastAsia="zh-CN" w:bidi="ar"/>
              </w:rPr>
              <w:t>——</w:t>
            </w:r>
            <w:r>
              <w:rPr>
                <w:rStyle w:val="7"/>
                <w:lang w:val="en-US" w:eastAsia="zh-CN" w:bidi="ar"/>
              </w:rPr>
              <w:t>以岔山和秀水为例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周境思、马佳嘉</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金融学院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202050205-080315219</w:t>
            </w:r>
          </w:p>
        </w:tc>
      </w:tr>
      <w:tr>
        <w:tblPrEx>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S201910592009</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关于经济欠发达地区农村居民养老现状、问题与对策的实证研究</w:t>
            </w:r>
            <w:r>
              <w:rPr>
                <w:rStyle w:val="8"/>
                <w:rFonts w:eastAsia="仿宋"/>
                <w:lang w:val="en-US" w:eastAsia="zh-CN" w:bidi="ar"/>
              </w:rPr>
              <w:t>——</w:t>
            </w:r>
            <w:r>
              <w:rPr>
                <w:rStyle w:val="7"/>
                <w:lang w:val="en-US" w:eastAsia="zh-CN" w:bidi="ar"/>
              </w:rPr>
              <w:t>以广西富川瑶族自治县为例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李嘉乐</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金融学院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202050205-080315220</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S201910592010</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粤港澳大湾区城市旅游竞争力研究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谢慧婷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地理与旅游学院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202050205-080315221</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S201910592011</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探索共治共享的社会</w:t>
            </w:r>
            <w:r>
              <w:rPr>
                <w:rStyle w:val="8"/>
                <w:rFonts w:eastAsia="仿宋"/>
                <w:lang w:val="en-US" w:eastAsia="zh-CN" w:bidi="ar"/>
              </w:rPr>
              <w:t>——</w:t>
            </w:r>
            <w:r>
              <w:rPr>
                <w:rStyle w:val="7"/>
                <w:lang w:val="en-US" w:eastAsia="zh-CN" w:bidi="ar"/>
              </w:rPr>
              <w:t>以樟林火帝庙的崛起为例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方盛嘉</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人文与传播学院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202050205-080315222</w:t>
            </w:r>
          </w:p>
        </w:tc>
      </w:tr>
      <w:tr>
        <w:tblPrEx>
          <w:shd w:val="clear" w:color="auto" w:fill="auto"/>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S201910592012</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广东省揭阳市惠来县四凤乡七夕节习俗的创新传承及其文创产业开发</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李珠</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人文与传播学院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202050205-080315223</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S201910592013</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《广宁古驿道遗迹田野调查与文创产品开发》</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冯婉滢</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人文与传播学院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202050205-080315224</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S201910592014</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雷州蒲织在</w:t>
            </w:r>
            <w:r>
              <w:rPr>
                <w:rStyle w:val="8"/>
                <w:rFonts w:eastAsia="仿宋"/>
                <w:lang w:val="en-US" w:eastAsia="zh-CN" w:bidi="ar"/>
              </w:rPr>
              <w:t>“</w:t>
            </w:r>
            <w:r>
              <w:rPr>
                <w:rStyle w:val="7"/>
                <w:lang w:val="en-US" w:eastAsia="zh-CN" w:bidi="ar"/>
              </w:rPr>
              <w:t>互联网</w:t>
            </w:r>
            <w:r>
              <w:rPr>
                <w:rStyle w:val="8"/>
                <w:rFonts w:eastAsia="仿宋"/>
                <w:lang w:val="en-US" w:eastAsia="zh-CN" w:bidi="ar"/>
              </w:rPr>
              <w:t>+”</w:t>
            </w:r>
            <w:r>
              <w:rPr>
                <w:rStyle w:val="7"/>
                <w:lang w:val="en-US" w:eastAsia="zh-CN" w:bidi="ar"/>
              </w:rPr>
              <w:t>时代背景下的保护与传承</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彭冰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人文与传播学院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202050205-080315225</w:t>
            </w:r>
          </w:p>
        </w:tc>
      </w:tr>
      <w:tr>
        <w:tblPrEx>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S201910592015</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基层党组织党员教育学习平台建设需求分析</w:t>
            </w:r>
            <w:r>
              <w:rPr>
                <w:rStyle w:val="8"/>
                <w:rFonts w:eastAsia="仿宋"/>
                <w:lang w:val="en-US" w:eastAsia="zh-CN" w:bidi="ar"/>
              </w:rPr>
              <w:t>——</w:t>
            </w:r>
            <w:r>
              <w:rPr>
                <w:rStyle w:val="7"/>
                <w:lang w:val="en-US" w:eastAsia="zh-CN" w:bidi="ar"/>
              </w:rPr>
              <w:t>以揭西县塔头村为例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林立信</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信息学院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202050205-080315226</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S201910592016</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大学生创业失败与自我认知关系调查</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曹福兴</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202050205-080315227</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S201910592017</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贵州黔南州贫困山区老人生活状态与帮扶措施调查研究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林乔微</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202050205-080315228</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S201910592018</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陌生人互助以及闲置物品充分利用平台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创新训练项目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陈惠平</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202050205-080315229</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S201910592001X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基于</w:t>
            </w:r>
            <w:r>
              <w:rPr>
                <w:rStyle w:val="8"/>
                <w:rFonts w:eastAsia="仿宋"/>
                <w:lang w:val="en-US" w:eastAsia="zh-CN" w:bidi="ar"/>
              </w:rPr>
              <w:t>3D</w:t>
            </w:r>
            <w:r>
              <w:rPr>
                <w:rStyle w:val="7"/>
                <w:lang w:val="en-US" w:eastAsia="zh-CN" w:bidi="ar"/>
              </w:rPr>
              <w:t>在线试衣模式的个性定制服装企业创业项目策划</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杨祖儿</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工商管理学院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202050205-080315230</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S201910592002X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岭南非遗视野下广东高校文创品运营与管理</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何倩素</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公共管理学院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202050205-080315231</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S201910592003X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8"/>
                <w:rFonts w:eastAsia="宋体"/>
                <w:lang w:val="en-US" w:eastAsia="zh-CN" w:bidi="ar"/>
              </w:rPr>
              <w:t>Ruby</w:t>
            </w:r>
            <w:r>
              <w:rPr>
                <w:rStyle w:val="7"/>
                <w:lang w:val="en-US" w:eastAsia="zh-CN" w:bidi="ar"/>
              </w:rPr>
              <w:t>传媒</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张沁媛</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经济学院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202050205-080315232</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S201910592004X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互联网</w:t>
            </w:r>
            <w:r>
              <w:rPr>
                <w:rStyle w:val="8"/>
                <w:rFonts w:eastAsia="仿宋"/>
                <w:lang w:val="en-US" w:eastAsia="zh-CN" w:bidi="ar"/>
              </w:rPr>
              <w:t>+</w:t>
            </w:r>
            <w:r>
              <w:rPr>
                <w:rStyle w:val="7"/>
                <w:lang w:val="en-US" w:eastAsia="zh-CN" w:bidi="ar"/>
              </w:rPr>
              <w:t>高校生活圈传媒</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陈彦合</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金融学院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202050205-080315233</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S201910592005X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养老教育服务计划</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谢伊旋</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金融学院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202050205-080315234</w:t>
            </w:r>
          </w:p>
        </w:tc>
      </w:tr>
      <w:tr>
        <w:tblPrEx>
          <w:shd w:val="clear" w:color="auto" w:fill="auto"/>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S201910592006X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从前慢文化创意有限公司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张原玮</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地理与旅游学院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202050205-080315235</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S201910592007X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菁青同学研学导师培训中心</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黄笑</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地理与旅游学院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202050205-080315236</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S201910592008X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累了么</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刘博鸿</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信息学院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202050205-080315237</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S201910592009X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针对高校的家庭烘焙培训</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彭颖娴</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信息学院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202050205-080315238</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S201910592010X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智能停车开发与运营</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王浩</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信息学院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202050205-080315239</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S201910592011X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悦客智慧供应链社交电商平台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吴炀</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202050205-080315240</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S201910592012X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联益贫困地区农产品公益推广平台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林奕生</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202050205-080315241</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S201910592013X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职道</w:t>
            </w:r>
            <w:r>
              <w:rPr>
                <w:rStyle w:val="8"/>
                <w:rFonts w:eastAsia="仿宋"/>
                <w:lang w:val="en-US" w:eastAsia="zh-CN" w:bidi="ar"/>
              </w:rPr>
              <w:t>—</w:t>
            </w:r>
            <w:r>
              <w:rPr>
                <w:rStyle w:val="7"/>
                <w:lang w:val="en-US" w:eastAsia="zh-CN" w:bidi="ar"/>
              </w:rPr>
              <w:t>知识合伙人</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林典驰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202050205-080315242</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S201910592014X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7"/>
                <w:lang w:val="en-US" w:eastAsia="zh-CN" w:bidi="ar"/>
              </w:rPr>
              <w:t>区御</w:t>
            </w:r>
            <w:r>
              <w:rPr>
                <w:rStyle w:val="8"/>
                <w:rFonts w:eastAsia="仿宋"/>
                <w:lang w:val="en-US" w:eastAsia="zh-CN" w:bidi="ar"/>
              </w:rPr>
              <w:t>——</w:t>
            </w:r>
            <w:r>
              <w:rPr>
                <w:rStyle w:val="7"/>
                <w:lang w:val="en-US" w:eastAsia="zh-CN" w:bidi="ar"/>
              </w:rPr>
              <w:t>区块链防伪溯源</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杜嘉豪</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202050205-080315243</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S201910592016X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8"/>
                <w:rFonts w:eastAsia="宋体"/>
                <w:lang w:val="en-US" w:eastAsia="zh-CN" w:bidi="ar"/>
              </w:rPr>
              <w:t>air&amp;</w:t>
            </w:r>
            <w:r>
              <w:rPr>
                <w:rStyle w:val="7"/>
                <w:lang w:val="en-US" w:eastAsia="zh-CN" w:bidi="ar"/>
              </w:rPr>
              <w:t>爱耳</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李柱</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202050205-080315244</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44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S201910592017X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这里那里</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邓梓聪</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0.25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202050205-080315245</w:t>
            </w:r>
          </w:p>
        </w:tc>
      </w:tr>
      <w:tr>
        <w:tblPrEx>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S201910592018X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个人数字图书馆与私人装帧定制</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都康盛</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文化创意与旅游学院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202050205-080315246</w:t>
            </w:r>
          </w:p>
        </w:tc>
      </w:tr>
      <w:tr>
        <w:tblPrEx>
          <w:shd w:val="clear" w:color="auto" w:fill="auto"/>
          <w:tblCellMar>
            <w:top w:w="0" w:type="dxa"/>
            <w:left w:w="0" w:type="dxa"/>
            <w:bottom w:w="0" w:type="dxa"/>
            <w:right w:w="0" w:type="dxa"/>
          </w:tblCellMar>
        </w:tblPrEx>
        <w:trPr>
          <w:trHeight w:val="4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S201910592019X</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Style w:val="9"/>
                <w:lang w:val="en-US" w:eastAsia="zh-CN" w:bidi="ar"/>
              </w:rPr>
              <w:t>科技扫盲管家</w:t>
            </w:r>
            <w:r>
              <w:rPr>
                <w:rStyle w:val="10"/>
                <w:rFonts w:eastAsia="仿宋"/>
                <w:lang w:val="en-US" w:eastAsia="zh-CN" w:bidi="ar"/>
              </w:rPr>
              <w:t>——</w:t>
            </w:r>
            <w:r>
              <w:rPr>
                <w:rStyle w:val="9"/>
                <w:lang w:val="en-US" w:eastAsia="zh-CN" w:bidi="ar"/>
              </w:rPr>
              <w:t>一种针对科技盲区人群需要的新型科技信息交换及产品推广平台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创业训练项目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梁珂雯</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文化创意与旅游学院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202050205-080315247</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201810592001S</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广州新绿环保科技有限公司</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创业实践项目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陈佑</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w:t>
            </w:r>
          </w:p>
        </w:tc>
        <w:tc>
          <w:tcPr>
            <w:tcW w:w="2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202050205-080315248</w:t>
            </w:r>
          </w:p>
        </w:tc>
      </w:tr>
      <w:tr>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40.25</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S201910592001S</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莱檬传媒</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创业实践项目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赵鹏</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人文与传播学院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启动经费</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202050205-080315249</w:t>
            </w:r>
          </w:p>
        </w:tc>
      </w:tr>
      <w:tr>
        <w:tblPrEx>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S201910592002S</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筑梦之礼爱心礼物平台</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创业实践项目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周才煦</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启动经费</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202050205-080315250</w:t>
            </w:r>
          </w:p>
        </w:tc>
      </w:tr>
      <w:tr>
        <w:tblPrEx>
          <w:shd w:val="clear" w:color="auto" w:fill="auto"/>
          <w:tblCellMar>
            <w:top w:w="0" w:type="dxa"/>
            <w:left w:w="0" w:type="dxa"/>
            <w:bottom w:w="0" w:type="dxa"/>
            <w:right w:w="0" w:type="dxa"/>
          </w:tblCellMar>
        </w:tblPrEx>
        <w:trPr>
          <w:trHeight w:val="27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bookmarkStart w:id="0" w:name="_GoBack"/>
            <w:bookmarkEnd w:id="0"/>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S201910592003S</w:t>
            </w:r>
          </w:p>
        </w:tc>
        <w:tc>
          <w:tcPr>
            <w:tcW w:w="5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残健融创社区</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创业实践项目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伍沛臻</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创业教育学院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省级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启动经费</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202050205-080315251</w:t>
            </w:r>
          </w:p>
        </w:tc>
      </w:tr>
      <w:tr>
        <w:tblPrEx>
          <w:shd w:val="clear" w:color="auto" w:fill="auto"/>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numPr>
          <w:ilvl w:val="0"/>
          <w:numId w:val="0"/>
        </w:numPr>
        <w:jc w:val="both"/>
        <w:rPr>
          <w:rStyle w:val="5"/>
          <w:rFonts w:hint="default" w:ascii="宋体" w:hAnsi="宋体" w:eastAsia="宋体" w:cs="宋体"/>
          <w:b w:val="0"/>
          <w:bCs/>
          <w:i w:val="0"/>
          <w:caps w:val="0"/>
          <w:color w:val="302C30"/>
          <w:spacing w:val="0"/>
          <w:sz w:val="28"/>
          <w:szCs w:val="28"/>
          <w:shd w:val="clear" w:fill="FFFFFF"/>
          <w:vertAlign w:val="baseline"/>
          <w:lang w:val="en-US" w:eastAsia="zh-CN"/>
        </w:rPr>
        <w:sectPr>
          <w:pgSz w:w="16838" w:h="11906" w:orient="landscape"/>
          <w:pgMar w:top="1800" w:right="1440" w:bottom="1800" w:left="1440" w:header="851" w:footer="992" w:gutter="0"/>
          <w:cols w:space="425" w:num="1"/>
          <w:docGrid w:type="lines" w:linePitch="312" w:charSpace="0"/>
        </w:sectPr>
      </w:pPr>
    </w:p>
    <w:p>
      <w:pPr>
        <w:spacing w:line="560" w:lineRule="exact"/>
        <w:rPr>
          <w:rFonts w:hint="eastAsia" w:ascii="华文中宋" w:hAnsi="华文中宋" w:eastAsia="华文中宋"/>
          <w:b/>
          <w:sz w:val="48"/>
          <w:szCs w:val="48"/>
        </w:rPr>
      </w:pPr>
      <w:r>
        <w:rPr>
          <w:rFonts w:hint="eastAsia" w:ascii="仿宋_GB2312" w:hAnsi="华文中宋" w:eastAsia="仿宋_GB2312"/>
          <w:sz w:val="32"/>
          <w:szCs w:val="32"/>
        </w:rPr>
        <w:t>附件2</w:t>
      </w:r>
    </w:p>
    <w:p>
      <w:pPr>
        <w:spacing w:line="560" w:lineRule="exact"/>
        <w:jc w:val="center"/>
        <w:rPr>
          <w:rFonts w:hint="eastAsia" w:ascii="仿宋_GB2312" w:eastAsia="仿宋_GB2312"/>
          <w:b/>
          <w:sz w:val="32"/>
          <w:szCs w:val="32"/>
        </w:rPr>
      </w:pPr>
      <w:r>
        <w:rPr>
          <w:rFonts w:hint="eastAsia" w:ascii="仿宋_GB2312" w:eastAsia="仿宋_GB2312"/>
          <w:b/>
          <w:sz w:val="32"/>
          <w:szCs w:val="32"/>
        </w:rPr>
        <w:t>大学生</w:t>
      </w:r>
      <w:r>
        <w:rPr>
          <w:rFonts w:ascii="仿宋_GB2312" w:eastAsia="仿宋_GB2312"/>
          <w:b/>
          <w:sz w:val="32"/>
          <w:szCs w:val="32"/>
        </w:rPr>
        <w:t>创新创业训练项目</w:t>
      </w:r>
      <w:r>
        <w:rPr>
          <w:rFonts w:hint="eastAsia" w:ascii="仿宋_GB2312" w:eastAsia="仿宋_GB2312"/>
          <w:b/>
          <w:sz w:val="32"/>
          <w:szCs w:val="32"/>
        </w:rPr>
        <w:t>经费使用说明</w:t>
      </w:r>
    </w:p>
    <w:p>
      <w:pPr>
        <w:spacing w:line="560" w:lineRule="exact"/>
        <w:ind w:firstLine="435"/>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b/>
          <w:bCs/>
          <w:sz w:val="32"/>
          <w:szCs w:val="32"/>
          <w:lang w:val="en-US" w:eastAsia="zh-CN"/>
        </w:rPr>
        <w:t>一、报账程序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HYPERLINK "http://finmanage.gdufe.edu.cn:8800/Main.aspx，" </w:instrText>
      </w:r>
      <w:r>
        <w:rPr>
          <w:rFonts w:hint="eastAsia" w:ascii="仿宋_GB2312" w:eastAsia="仿宋_GB2312"/>
          <w:sz w:val="32"/>
          <w:szCs w:val="32"/>
        </w:rPr>
        <w:fldChar w:fldCharType="separate"/>
      </w:r>
      <w:r>
        <w:rPr>
          <w:rStyle w:val="6"/>
          <w:rFonts w:hint="eastAsia" w:ascii="仿宋_GB2312" w:eastAsia="仿宋_GB2312"/>
          <w:sz w:val="32"/>
          <w:szCs w:val="32"/>
        </w:rPr>
        <w:t>http://finmanage.gdufe.edu.cn:8800/Main.aspx，</w:t>
      </w:r>
      <w:r>
        <w:rPr>
          <w:rFonts w:hint="eastAsia" w:ascii="仿宋_GB2312" w:eastAsia="仿宋_GB2312"/>
          <w:sz w:val="32"/>
          <w:szCs w:val="32"/>
        </w:rPr>
        <w:fldChar w:fldCharType="end"/>
      </w:r>
    </w:p>
    <w:p>
      <w:pPr>
        <w:spacing w:line="560" w:lineRule="exact"/>
        <w:ind w:firstLine="640"/>
        <w:rPr>
          <w:rFonts w:hint="eastAsia" w:ascii="仿宋_GB2312" w:eastAsia="仿宋_GB2312"/>
          <w:sz w:val="32"/>
          <w:szCs w:val="32"/>
        </w:rPr>
      </w:pPr>
      <w:r>
        <w:rPr>
          <w:rFonts w:hint="eastAsia" w:ascii="仿宋_GB2312" w:eastAsia="仿宋_GB2312"/>
          <w:sz w:val="32"/>
          <w:szCs w:val="32"/>
        </w:rPr>
        <w:t>学生登陆</w:t>
      </w:r>
      <w:r>
        <w:rPr>
          <w:rFonts w:hint="eastAsia" w:ascii="仿宋_GB2312" w:eastAsia="仿宋_GB2312"/>
          <w:sz w:val="32"/>
          <w:szCs w:val="32"/>
          <w:lang w:val="en-US" w:eastAsia="zh-CN"/>
        </w:rPr>
        <w:t>上述</w:t>
      </w:r>
      <w:r>
        <w:rPr>
          <w:rFonts w:hint="eastAsia" w:ascii="仿宋_GB2312" w:eastAsia="仿宋_GB2312"/>
          <w:sz w:val="32"/>
          <w:szCs w:val="32"/>
        </w:rPr>
        <w:t>报账平台</w:t>
      </w:r>
      <w:r>
        <w:rPr>
          <w:rFonts w:hint="eastAsia" w:ascii="仿宋_GB2312" w:eastAsia="仿宋_GB2312"/>
          <w:sz w:val="32"/>
          <w:szCs w:val="32"/>
          <w:lang w:eastAsia="zh-CN"/>
        </w:rPr>
        <w:t>，</w:t>
      </w:r>
      <w:r>
        <w:rPr>
          <w:rFonts w:hint="eastAsia" w:ascii="仿宋_GB2312" w:eastAsia="仿宋_GB2312"/>
          <w:sz w:val="32"/>
          <w:szCs w:val="32"/>
        </w:rPr>
        <w:t>登陆账号为项目负责人的学号，密码为项目负责人身份证号后六位，具体操作流程如下：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1.进入报账平台后，从系统公告栏——业务指南——网上报销操作说明附件---下载查看《广东财经大学网上报销操作手册（学生）》。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2.在报账平台完成系统填单，并打印出系统自动生成报销确认单。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3.用A4板式票据粘贴单粘贴好相关票据，具体要求见报账平台公告栏——A4板式票据粘贴单。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4.带上报销确认单加粘贴好票据的A4版式粘贴单，项目负责人在负责人一栏签字，指导老师在证明人一栏签字确认，学院院长在单位负责人一栏签字确认后提交学校财务处。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因报账流程比较繁琐，同学们如有不明白的可以加入学校报账信息QQ群：853418884。同时请指导老师和学院办公室主任帮助学生掌握网络报账流程和相关注意事项。</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rPr>
        <w:t>、项目经费使用范围</w:t>
      </w:r>
    </w:p>
    <w:p>
      <w:pPr>
        <w:spacing w:line="560" w:lineRule="exact"/>
        <w:ind w:firstLine="573"/>
        <w:rPr>
          <w:rFonts w:hint="eastAsia" w:ascii="仿宋_GB2312" w:eastAsia="仿宋_GB2312"/>
          <w:sz w:val="32"/>
          <w:szCs w:val="32"/>
        </w:rPr>
      </w:pPr>
      <w:r>
        <w:rPr>
          <w:rFonts w:hint="eastAsia" w:ascii="仿宋_GB2312" w:eastAsia="仿宋_GB2312"/>
          <w:sz w:val="32"/>
          <w:szCs w:val="32"/>
        </w:rPr>
        <w:t>项目经费主要用于项目的</w:t>
      </w:r>
      <w:r>
        <w:rPr>
          <w:rFonts w:hint="eastAsia" w:ascii="仿宋_GB2312" w:eastAsia="仿宋_GB2312"/>
          <w:b/>
          <w:bCs/>
          <w:sz w:val="32"/>
          <w:szCs w:val="32"/>
        </w:rPr>
        <w:t>资料费、调研费、实验费、测试费</w:t>
      </w:r>
      <w:r>
        <w:rPr>
          <w:rFonts w:hint="eastAsia" w:ascii="仿宋_GB2312" w:eastAsia="仿宋_GB2312"/>
          <w:sz w:val="32"/>
          <w:szCs w:val="32"/>
        </w:rPr>
        <w:t>等必要支出。具体说明如下：</w:t>
      </w:r>
    </w:p>
    <w:p>
      <w:pPr>
        <w:spacing w:line="560" w:lineRule="exact"/>
        <w:ind w:firstLine="573"/>
        <w:rPr>
          <w:rFonts w:hint="eastAsia" w:ascii="仿宋_GB2312" w:eastAsia="仿宋_GB2312"/>
          <w:sz w:val="32"/>
          <w:szCs w:val="32"/>
        </w:rPr>
      </w:pPr>
      <w:r>
        <w:rPr>
          <w:rFonts w:hint="eastAsia" w:ascii="仿宋_GB2312" w:eastAsia="仿宋_GB2312"/>
          <w:sz w:val="32"/>
          <w:szCs w:val="32"/>
        </w:rPr>
        <w:t xml:space="preserve"> 1.资料费主要包括用于打印、复印、购买必要的书籍、文献资料的费用，以及公开发表项目成果所需的审编费、版面费和成果鉴定、报奖、申请专利等所需费用。</w:t>
      </w:r>
    </w:p>
    <w:p>
      <w:pPr>
        <w:spacing w:line="560" w:lineRule="exact"/>
        <w:ind w:firstLine="573"/>
        <w:rPr>
          <w:rFonts w:hint="eastAsia" w:ascii="仿宋_GB2312" w:eastAsia="仿宋_GB2312"/>
          <w:sz w:val="32"/>
          <w:szCs w:val="32"/>
        </w:rPr>
      </w:pPr>
      <w:r>
        <w:rPr>
          <w:rFonts w:hint="eastAsia" w:ascii="仿宋_GB2312" w:eastAsia="仿宋_GB2312"/>
          <w:sz w:val="32"/>
          <w:szCs w:val="32"/>
        </w:rPr>
        <w:t xml:space="preserve"> 2.调研费主要包括办公用品和差旅费费用，报账时必须提供与项目有关的说明，方可报账。</w:t>
      </w:r>
    </w:p>
    <w:p>
      <w:pPr>
        <w:spacing w:line="560" w:lineRule="exact"/>
        <w:ind w:firstLine="573"/>
        <w:rPr>
          <w:rFonts w:hint="eastAsia" w:ascii="仿宋_GB2312" w:eastAsia="仿宋_GB2312"/>
          <w:sz w:val="32"/>
          <w:szCs w:val="32"/>
        </w:rPr>
      </w:pPr>
      <w:r>
        <w:rPr>
          <w:rFonts w:hint="eastAsia" w:ascii="仿宋_GB2312" w:eastAsia="仿宋_GB2312"/>
          <w:sz w:val="32"/>
          <w:szCs w:val="32"/>
        </w:rPr>
        <w:t xml:space="preserve"> 3.实验费和测试费主要用于购买元件、小型电器、辅助工具和药品等实验耗材，以及用于分析测试的费用。</w:t>
      </w:r>
    </w:p>
    <w:p>
      <w:pPr>
        <w:spacing w:line="560" w:lineRule="exact"/>
        <w:ind w:firstLine="573"/>
        <w:rPr>
          <w:rFonts w:ascii="仿宋_GB2312" w:eastAsia="仿宋_GB2312"/>
          <w:sz w:val="32"/>
          <w:szCs w:val="32"/>
        </w:rPr>
      </w:pPr>
      <w:r>
        <w:rPr>
          <w:rFonts w:hint="eastAsia" w:ascii="仿宋_GB2312" w:eastAsia="仿宋_GB2312"/>
          <w:sz w:val="32"/>
          <w:szCs w:val="32"/>
        </w:rPr>
        <w:t xml:space="preserve"> 4.与项目有关的邮寄费、通讯费、上网费也可报销，报销比例不得超过总经费的10%。</w:t>
      </w:r>
    </w:p>
    <w:p>
      <w:pPr>
        <w:spacing w:line="560" w:lineRule="exact"/>
        <w:ind w:firstLine="573"/>
        <w:rPr>
          <w:rFonts w:hint="eastAsia" w:ascii="仿宋_GB2312" w:eastAsia="仿宋_GB2312"/>
          <w:sz w:val="32"/>
          <w:szCs w:val="32"/>
        </w:rPr>
      </w:pPr>
      <w:r>
        <w:rPr>
          <w:rFonts w:hint="eastAsia" w:ascii="仿宋_GB2312" w:eastAsia="仿宋_GB2312"/>
          <w:sz w:val="32"/>
          <w:szCs w:val="32"/>
        </w:rPr>
        <w:t xml:space="preserve"> 5.与</w:t>
      </w:r>
      <w:r>
        <w:rPr>
          <w:rFonts w:ascii="仿宋_GB2312" w:eastAsia="仿宋_GB2312"/>
          <w:sz w:val="32"/>
          <w:szCs w:val="32"/>
        </w:rPr>
        <w:t>项目</w:t>
      </w:r>
      <w:r>
        <w:rPr>
          <w:rFonts w:hint="eastAsia" w:ascii="仿宋_GB2312" w:eastAsia="仿宋_GB2312"/>
          <w:sz w:val="32"/>
          <w:szCs w:val="32"/>
        </w:rPr>
        <w:t>直接</w:t>
      </w:r>
      <w:r>
        <w:rPr>
          <w:rFonts w:ascii="仿宋_GB2312" w:eastAsia="仿宋_GB2312"/>
          <w:sz w:val="32"/>
          <w:szCs w:val="32"/>
        </w:rPr>
        <w:t>相关的其他费用。</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仿宋_GB2312" w:eastAsia="仿宋_GB2312"/>
          <w:b/>
          <w:bCs/>
          <w:sz w:val="32"/>
          <w:szCs w:val="32"/>
          <w:lang w:val="en-US" w:eastAsia="zh-CN"/>
        </w:rPr>
        <w:t>三</w:t>
      </w:r>
      <w:r>
        <w:rPr>
          <w:rFonts w:hint="eastAsia" w:ascii="仿宋_GB2312" w:eastAsia="仿宋_GB2312"/>
          <w:b/>
          <w:bCs/>
          <w:sz w:val="32"/>
          <w:szCs w:val="32"/>
        </w:rPr>
        <w:t>、经费使用及报账说明</w:t>
      </w:r>
    </w:p>
    <w:p>
      <w:pPr>
        <w:spacing w:line="560" w:lineRule="exact"/>
        <w:ind w:firstLine="432" w:firstLineChars="135"/>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1</w:t>
      </w:r>
      <w:r>
        <w:rPr>
          <w:rFonts w:hint="eastAsia" w:ascii="仿宋_GB2312" w:eastAsia="仿宋_GB2312"/>
          <w:sz w:val="32"/>
          <w:szCs w:val="32"/>
        </w:rPr>
        <w:t>.各类用于经费报销的票据的使用人必须是项目组负责人和成员，严禁用他人的票据报销项目经费。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w:t>
      </w:r>
      <w:r>
        <w:rPr>
          <w:rFonts w:hint="eastAsia" w:ascii="仿宋_GB2312" w:eastAsia="仿宋_GB2312"/>
          <w:sz w:val="32"/>
          <w:szCs w:val="32"/>
        </w:rPr>
        <w:t>.每项目每次经费报销金额不少于2</w:t>
      </w:r>
      <w:r>
        <w:rPr>
          <w:rFonts w:ascii="仿宋_GB2312" w:eastAsia="仿宋_GB2312"/>
          <w:sz w:val="32"/>
          <w:szCs w:val="32"/>
        </w:rPr>
        <w:t>5</w:t>
      </w:r>
      <w:r>
        <w:rPr>
          <w:rFonts w:hint="eastAsia" w:ascii="仿宋_GB2312" w:eastAsia="仿宋_GB2312"/>
          <w:sz w:val="32"/>
          <w:szCs w:val="32"/>
        </w:rPr>
        <w:t>00元。</w:t>
      </w:r>
    </w:p>
    <w:p>
      <w:pPr>
        <w:spacing w:line="560" w:lineRule="exact"/>
        <w:ind w:firstLine="435"/>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3.</w:t>
      </w:r>
      <w:r>
        <w:rPr>
          <w:rFonts w:hint="eastAsia" w:ascii="仿宋_GB2312" w:eastAsia="仿宋_GB2312"/>
          <w:sz w:val="32"/>
          <w:szCs w:val="32"/>
        </w:rPr>
        <w:t>其他</w:t>
      </w:r>
      <w:r>
        <w:rPr>
          <w:rFonts w:ascii="仿宋_GB2312" w:eastAsia="仿宋_GB2312"/>
          <w:sz w:val="32"/>
          <w:szCs w:val="32"/>
        </w:rPr>
        <w:t>报销未</w:t>
      </w:r>
      <w:r>
        <w:rPr>
          <w:rFonts w:hint="eastAsia" w:ascii="仿宋_GB2312" w:eastAsia="仿宋_GB2312"/>
          <w:sz w:val="32"/>
          <w:szCs w:val="32"/>
        </w:rPr>
        <w:t>尽</w:t>
      </w:r>
      <w:r>
        <w:rPr>
          <w:rFonts w:ascii="仿宋_GB2312" w:eastAsia="仿宋_GB2312"/>
          <w:sz w:val="32"/>
          <w:szCs w:val="32"/>
        </w:rPr>
        <w:t>事宜，请参照</w:t>
      </w:r>
      <w:r>
        <w:rPr>
          <w:rFonts w:hint="eastAsia" w:ascii="仿宋_GB2312" w:eastAsia="仿宋_GB2312"/>
          <w:sz w:val="32"/>
          <w:szCs w:val="32"/>
        </w:rPr>
        <w:t>《</w:t>
      </w:r>
      <w:r>
        <w:rPr>
          <w:rFonts w:ascii="仿宋_GB2312" w:eastAsia="仿宋_GB2312"/>
          <w:sz w:val="32"/>
          <w:szCs w:val="32"/>
        </w:rPr>
        <w:t>广</w:t>
      </w:r>
      <w:r>
        <w:rPr>
          <w:rFonts w:hint="eastAsia" w:ascii="仿宋_GB2312" w:eastAsia="仿宋_GB2312"/>
          <w:sz w:val="32"/>
          <w:szCs w:val="32"/>
        </w:rPr>
        <w:t>东财经大学经费支出审批与报销管理办法</w:t>
      </w:r>
      <w:r>
        <w:rPr>
          <w:rFonts w:ascii="仿宋_GB2312" w:eastAsia="仿宋_GB2312"/>
          <w:sz w:val="32"/>
          <w:szCs w:val="32"/>
        </w:rPr>
        <w:t>》</w:t>
      </w:r>
      <w:r>
        <w:rPr>
          <w:rFonts w:hint="eastAsia" w:ascii="仿宋_GB2312" w:eastAsia="仿宋_GB2312"/>
          <w:sz w:val="32"/>
          <w:szCs w:val="32"/>
        </w:rPr>
        <w:t>等</w:t>
      </w:r>
      <w:r>
        <w:rPr>
          <w:rFonts w:ascii="仿宋_GB2312" w:eastAsia="仿宋_GB2312"/>
          <w:sz w:val="32"/>
          <w:szCs w:val="32"/>
        </w:rPr>
        <w:t>财务相关制度文件。</w:t>
      </w:r>
    </w:p>
    <w:p>
      <w:pPr>
        <w:spacing w:line="560" w:lineRule="exact"/>
        <w:ind w:firstLine="435"/>
        <w:rPr>
          <w:rFonts w:hint="eastAsia" w:ascii="仿宋_GB2312" w:eastAsia="仿宋_GB2312"/>
          <w:sz w:val="32"/>
          <w:szCs w:val="32"/>
        </w:rPr>
      </w:pPr>
    </w:p>
    <w:p>
      <w:pPr>
        <w:spacing w:line="560" w:lineRule="exact"/>
        <w:rPr>
          <w:rFonts w:hint="eastAsia"/>
        </w:rPr>
      </w:pPr>
    </w:p>
    <w:p>
      <w:pPr>
        <w:numPr>
          <w:ilvl w:val="0"/>
          <w:numId w:val="0"/>
        </w:numPr>
        <w:jc w:val="both"/>
        <w:rPr>
          <w:rStyle w:val="5"/>
          <w:rFonts w:hint="default" w:ascii="宋体" w:hAnsi="宋体" w:eastAsia="宋体" w:cs="宋体"/>
          <w:b w:val="0"/>
          <w:bCs/>
          <w:i w:val="0"/>
          <w:caps w:val="0"/>
          <w:color w:val="302C30"/>
          <w:spacing w:val="0"/>
          <w:sz w:val="28"/>
          <w:szCs w:val="28"/>
          <w:shd w:val="clear" w:fill="FFFFFF"/>
          <w:vertAlign w:val="baseline"/>
          <w:lang w:val="en-US" w:eastAsia="zh-CN"/>
        </w:rPr>
      </w:pPr>
    </w:p>
    <w:sectPr>
      <w:head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13D5"/>
    <w:multiLevelType w:val="singleLevel"/>
    <w:tmpl w:val="5EE613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1148"/>
    <w:rsid w:val="101E7B86"/>
    <w:rsid w:val="15F229D6"/>
    <w:rsid w:val="35A95408"/>
    <w:rsid w:val="48933AE2"/>
    <w:rsid w:val="4AB1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font81"/>
    <w:basedOn w:val="4"/>
    <w:uiPriority w:val="0"/>
    <w:rPr>
      <w:rFonts w:hint="eastAsia" w:ascii="仿宋" w:hAnsi="仿宋" w:eastAsia="仿宋" w:cs="仿宋"/>
      <w:color w:val="000000"/>
      <w:sz w:val="16"/>
      <w:szCs w:val="16"/>
      <w:u w:val="none"/>
    </w:rPr>
  </w:style>
  <w:style w:type="character" w:customStyle="1" w:styleId="8">
    <w:name w:val="font71"/>
    <w:basedOn w:val="4"/>
    <w:uiPriority w:val="0"/>
    <w:rPr>
      <w:rFonts w:hint="default" w:ascii="Times New Roman" w:hAnsi="Times New Roman" w:cs="Times New Roman"/>
      <w:color w:val="000000"/>
      <w:sz w:val="16"/>
      <w:szCs w:val="16"/>
      <w:u w:val="none"/>
    </w:rPr>
  </w:style>
  <w:style w:type="character" w:customStyle="1" w:styleId="9">
    <w:name w:val="font01"/>
    <w:basedOn w:val="4"/>
    <w:uiPriority w:val="0"/>
    <w:rPr>
      <w:rFonts w:hint="eastAsia" w:ascii="仿宋" w:hAnsi="仿宋" w:eastAsia="仿宋" w:cs="仿宋"/>
      <w:color w:val="000000"/>
      <w:sz w:val="16"/>
      <w:szCs w:val="16"/>
      <w:u w:val="none"/>
    </w:rPr>
  </w:style>
  <w:style w:type="character" w:customStyle="1" w:styleId="10">
    <w:name w:val="font14"/>
    <w:basedOn w:val="4"/>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3416</Words>
  <Characters>5201</Characters>
  <Lines>0</Lines>
  <Paragraphs>0</Paragraphs>
  <TotalTime>7</TotalTime>
  <ScaleCrop>false</ScaleCrop>
  <LinksUpToDate>false</LinksUpToDate>
  <CharactersWithSpaces>5287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2020-05-26T01:59:00Z</dcterms:created>
  <dc:creator>lenovo</dc:creator>
  <cp:lastModifiedBy>君佐</cp:lastModifiedBy>
  <dcterms:modified xsi:type="dcterms:W3CDTF">2020-06-04T00:58:03Z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