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5130D">
      <w:pPr>
        <w:pStyle w:val="19"/>
        <w:jc w:val="center"/>
        <w:rPr>
          <w:rFonts w:ascii="黑体" w:hAnsi="黑体" w:eastAsia="黑体"/>
          <w:color w:val="auto"/>
          <w:sz w:val="44"/>
          <w:szCs w:val="44"/>
          <w:lang w:val="en-GB"/>
        </w:rPr>
      </w:pPr>
      <w:r>
        <w:rPr>
          <w:rFonts w:hint="eastAsia" w:ascii="黑体" w:hAnsi="黑体" w:eastAsia="黑体"/>
          <w:color w:val="auto"/>
          <w:sz w:val="44"/>
          <w:szCs w:val="44"/>
          <w:lang w:val="en-GB"/>
        </w:rPr>
        <w:t>广东财经大学本科生毕业论文（设计）</w:t>
      </w:r>
    </w:p>
    <w:p w14:paraId="636FE265">
      <w:pPr>
        <w:pStyle w:val="19"/>
        <w:jc w:val="center"/>
        <w:rPr>
          <w:rFonts w:ascii="黑体" w:hAnsi="黑体" w:eastAsia="黑体"/>
          <w:color w:val="auto"/>
          <w:sz w:val="44"/>
          <w:szCs w:val="44"/>
          <w:lang w:val="en-GB"/>
        </w:rPr>
      </w:pPr>
      <w:r>
        <w:rPr>
          <w:rFonts w:hint="eastAsia" w:ascii="黑体" w:hAnsi="黑体" w:eastAsia="黑体"/>
          <w:color w:val="auto"/>
          <w:sz w:val="44"/>
          <w:szCs w:val="44"/>
          <w:lang w:val="en-GB"/>
        </w:rPr>
        <w:t>撰写规范</w:t>
      </w:r>
    </w:p>
    <w:p w14:paraId="1D8D2014">
      <w:pPr>
        <w:spacing w:line="400" w:lineRule="exact"/>
        <w:jc w:val="center"/>
        <w:rPr>
          <w:rFonts w:ascii="仿宋_GB2312" w:hAnsi="宋体" w:eastAsia="仿宋_GB2312"/>
          <w:sz w:val="30"/>
          <w:szCs w:val="30"/>
        </w:rPr>
      </w:pPr>
    </w:p>
    <w:p w14:paraId="7AA17D9E">
      <w:pPr>
        <w:spacing w:line="5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根据《广东财经大学本科毕业论文(设计)管理办法》、中华人民共和国国家标准《科学技术报告、学位论文和学术论文的编写格式》（国家标准GB7713-87）及《信息与文献参考文献著录规则》</w:t>
      </w:r>
      <w:r>
        <w:rPr>
          <w:rFonts w:hint="eastAsia" w:ascii="宋体" w:hAnsi="宋体" w:cs="宋体"/>
          <w:sz w:val="28"/>
          <w:szCs w:val="28"/>
        </w:rPr>
        <w:t>（GB/T7714-2015）的规定</w:t>
      </w:r>
      <w:r>
        <w:rPr>
          <w:rFonts w:hint="eastAsia" w:ascii="宋体" w:hAnsi="宋体" w:eastAsia="宋体" w:cs="宋体"/>
          <w:sz w:val="28"/>
          <w:szCs w:val="28"/>
        </w:rPr>
        <w:t>，特制定《</w:t>
      </w:r>
      <w:r>
        <w:rPr>
          <w:rFonts w:hint="eastAsia" w:ascii="宋体" w:hAnsi="宋体" w:eastAsia="宋体" w:cs="宋体"/>
          <w:kern w:val="2"/>
          <w:sz w:val="28"/>
          <w:szCs w:val="28"/>
        </w:rPr>
        <w:t>广东财经大学本科生毕业论文 (设计)撰写规范》</w:t>
      </w:r>
      <w:r>
        <w:rPr>
          <w:rFonts w:hint="eastAsia" w:ascii="宋体" w:hAnsi="宋体" w:eastAsia="宋体" w:cs="宋体"/>
          <w:sz w:val="28"/>
          <w:szCs w:val="28"/>
        </w:rPr>
        <w:t>。本规范为我校本科学生撰写毕业论文（设计）提供写作指南，各二级学院可根据学科专业特点以及实际情况作进一步规范性要求。</w:t>
      </w:r>
    </w:p>
    <w:p w14:paraId="50BEF4E4">
      <w:pPr>
        <w:tabs>
          <w:tab w:val="left" w:pos="540"/>
        </w:tabs>
        <w:ind w:left="-2" w:leftChars="-1" w:firstLine="643" w:firstLineChars="200"/>
        <w:rPr>
          <w:rFonts w:ascii="黑体" w:hAnsi="黑体" w:eastAsia="黑体" w:cs="黑体"/>
          <w:b/>
          <w:bCs/>
          <w:sz w:val="32"/>
          <w:szCs w:val="32"/>
          <w:lang w:val="en-GB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GB"/>
        </w:rPr>
        <w:t>一、规范性引用文件</w:t>
      </w:r>
    </w:p>
    <w:p w14:paraId="7E55318E">
      <w:pPr>
        <w:spacing w:line="4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为确保我校本科生毕业论文 (设计)写作符合规范，本规范参考以下标准：</w:t>
      </w:r>
    </w:p>
    <w:p w14:paraId="4590732C">
      <w:pPr>
        <w:spacing w:line="400" w:lineRule="exact"/>
        <w:ind w:left="880" w:leftChars="300" w:hanging="280" w:hangingChars="1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1.《科学技术报告、学位论文和学术论文的编写格式》（GB7713—87）；</w:t>
      </w:r>
    </w:p>
    <w:p w14:paraId="2B77F794">
      <w:pPr>
        <w:spacing w:line="400" w:lineRule="exact"/>
        <w:ind w:left="600" w:leftChars="3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2.《学位论文编写规则》（G</w:t>
      </w:r>
      <w:r>
        <w:rPr>
          <w:rFonts w:ascii="宋体" w:hAnsi="宋体" w:eastAsia="宋体" w:cs="宋体"/>
          <w:sz w:val="28"/>
          <w:szCs w:val="28"/>
        </w:rPr>
        <w:t>B/T7713.1</w:t>
      </w:r>
      <w:r>
        <w:rPr>
          <w:rFonts w:hint="eastAsia" w:ascii="宋体" w:hAnsi="宋体" w:eastAsia="宋体" w:cs="宋体"/>
          <w:sz w:val="28"/>
          <w:szCs w:val="28"/>
        </w:rPr>
        <w:t>—</w:t>
      </w:r>
      <w:r>
        <w:rPr>
          <w:rFonts w:ascii="宋体" w:hAnsi="宋体" w:eastAsia="宋体" w:cs="宋体"/>
          <w:sz w:val="28"/>
          <w:szCs w:val="28"/>
        </w:rPr>
        <w:t>2006</w:t>
      </w:r>
      <w:r>
        <w:rPr>
          <w:rFonts w:hint="eastAsia" w:ascii="宋体" w:hAnsi="宋体" w:eastAsia="宋体" w:cs="宋体"/>
          <w:sz w:val="28"/>
          <w:szCs w:val="28"/>
        </w:rPr>
        <w:t>）；</w:t>
      </w:r>
    </w:p>
    <w:p w14:paraId="04FAD94D">
      <w:pPr>
        <w:spacing w:line="400" w:lineRule="exact"/>
        <w:ind w:left="600" w:leftChars="3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.《标点符号用法》(GB/T15834—2011)；</w:t>
      </w:r>
    </w:p>
    <w:p w14:paraId="5A980774">
      <w:pPr>
        <w:spacing w:line="400" w:lineRule="exact"/>
        <w:ind w:left="600" w:leftChars="3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.《出版物数字用法》(GB/T15835—2011）；</w:t>
      </w:r>
    </w:p>
    <w:p w14:paraId="44C39548">
      <w:pPr>
        <w:spacing w:line="400" w:lineRule="exact"/>
        <w:ind w:left="600" w:leftChars="3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.《国际单位制及其应用》（GB3100—</w:t>
      </w:r>
      <w:r>
        <w:rPr>
          <w:rFonts w:ascii="宋体" w:hAnsi="宋体" w:eastAsia="宋体" w:cs="宋体"/>
          <w:sz w:val="28"/>
          <w:szCs w:val="28"/>
        </w:rPr>
        <w:t>93</w:t>
      </w:r>
      <w:r>
        <w:rPr>
          <w:rFonts w:hint="eastAsia" w:ascii="宋体" w:hAnsi="宋体" w:eastAsia="宋体" w:cs="宋体"/>
          <w:sz w:val="28"/>
          <w:szCs w:val="28"/>
        </w:rPr>
        <w:t>）；</w:t>
      </w:r>
    </w:p>
    <w:p w14:paraId="69E0475F">
      <w:pPr>
        <w:spacing w:line="400" w:lineRule="exact"/>
        <w:ind w:left="600" w:leftChars="3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.《中国人名汉语拼音拼写规则》（GB/T28039—2011）；</w:t>
      </w:r>
    </w:p>
    <w:p w14:paraId="60FBA2D1">
      <w:pPr>
        <w:spacing w:line="400" w:lineRule="exact"/>
        <w:ind w:left="600" w:leftChars="3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.《信息与文献参考文献著录规则》（GB/T7714—2015）。</w:t>
      </w:r>
    </w:p>
    <w:p w14:paraId="069AD69B">
      <w:pPr>
        <w:tabs>
          <w:tab w:val="left" w:pos="540"/>
        </w:tabs>
        <w:ind w:left="-2" w:leftChars="-1" w:firstLine="643" w:firstLineChars="200"/>
        <w:rPr>
          <w:rFonts w:ascii="黑体" w:hAnsi="黑体" w:eastAsia="黑体" w:cs="黑体"/>
          <w:b/>
          <w:bCs/>
          <w:sz w:val="32"/>
          <w:szCs w:val="32"/>
          <w:lang w:val="en-GB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GB"/>
        </w:rPr>
        <w:t>二、毕业论文（设计）构成及写作要求</w:t>
      </w:r>
    </w:p>
    <w:p w14:paraId="5EFF42B4">
      <w:pPr>
        <w:pStyle w:val="47"/>
        <w:spacing w:line="5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本科生毕业论文(</w:t>
      </w:r>
      <w:r>
        <w:rPr>
          <w:rFonts w:ascii="宋体" w:hAnsi="宋体" w:eastAsia="宋体" w:cs="宋体"/>
          <w:sz w:val="28"/>
          <w:szCs w:val="28"/>
        </w:rPr>
        <w:t>设计</w:t>
      </w:r>
      <w:r>
        <w:rPr>
          <w:rFonts w:hint="eastAsia" w:ascii="宋体" w:hAnsi="宋体" w:eastAsia="宋体" w:cs="宋体"/>
          <w:sz w:val="28"/>
          <w:szCs w:val="28"/>
        </w:rPr>
        <w:t>)由封面、成绩评定表、原创性声明、中文摘要（含中文关键词）、英文摘要（含英文关键词）、目录、正文、注释</w:t>
      </w:r>
      <w:r>
        <w:rPr>
          <w:rFonts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如无,可省略</w:t>
      </w:r>
      <w:r>
        <w:rPr>
          <w:rFonts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、参考文献、附录（如无,可</w:t>
      </w:r>
      <w:r>
        <w:rPr>
          <w:rFonts w:ascii="宋体" w:hAnsi="宋体" w:eastAsia="宋体" w:cs="宋体"/>
          <w:sz w:val="28"/>
          <w:szCs w:val="28"/>
        </w:rPr>
        <w:t>省略</w:t>
      </w:r>
      <w:r>
        <w:rPr>
          <w:rFonts w:hint="eastAsia" w:ascii="宋体" w:hAnsi="宋体" w:eastAsia="宋体" w:cs="宋体"/>
          <w:sz w:val="28"/>
          <w:szCs w:val="28"/>
        </w:rPr>
        <w:t>）、致谢十一部分组成。</w:t>
      </w:r>
      <w:r>
        <w:rPr>
          <w:rFonts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</w:rPr>
        <w:t>表</w:t>
      </w:r>
      <w:r>
        <w:rPr>
          <w:rFonts w:ascii="宋体" w:hAnsi="宋体" w:eastAsia="宋体" w:cs="宋体"/>
          <w:sz w:val="28"/>
          <w:szCs w:val="28"/>
        </w:rPr>
        <w:t>述方便，</w:t>
      </w:r>
      <w:r>
        <w:rPr>
          <w:rFonts w:hint="eastAsia" w:ascii="宋体" w:hAnsi="宋体" w:eastAsia="宋体" w:cs="宋体"/>
          <w:sz w:val="28"/>
          <w:szCs w:val="28"/>
        </w:rPr>
        <w:t>以下</w:t>
      </w:r>
      <w:r>
        <w:rPr>
          <w:rFonts w:ascii="宋体" w:hAnsi="宋体" w:eastAsia="宋体" w:cs="宋体"/>
          <w:sz w:val="28"/>
          <w:szCs w:val="28"/>
        </w:rPr>
        <w:t>将</w:t>
      </w:r>
      <w:r>
        <w:rPr>
          <w:rFonts w:hint="eastAsia" w:ascii="宋体" w:hAnsi="宋体" w:eastAsia="宋体" w:cs="宋体"/>
          <w:sz w:val="28"/>
          <w:szCs w:val="28"/>
        </w:rPr>
        <w:t>本科生毕业论文(设计)简称为“毕业论文</w:t>
      </w:r>
      <w:r>
        <w:rPr>
          <w:rFonts w:ascii="宋体" w:hAnsi="宋体" w:eastAsia="宋体" w:cs="宋体"/>
          <w:sz w:val="28"/>
          <w:szCs w:val="28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37AB8228">
      <w:pPr>
        <w:pStyle w:val="37"/>
        <w:numPr>
          <w:ilvl w:val="0"/>
          <w:numId w:val="1"/>
        </w:numPr>
        <w:ind w:firstLineChars="0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封面</w:t>
      </w:r>
    </w:p>
    <w:p w14:paraId="20EAE3E1">
      <w:pPr>
        <w:spacing w:after="0" w:line="5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1.毕业论文的封面和封底使用统一格式</w:t>
      </w:r>
      <w:r>
        <w:rPr>
          <w:rFonts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封面须注明论文题目、学院、专业、班级、学号、学生姓名、指导教师、提交日期等信息。</w:t>
      </w:r>
    </w:p>
    <w:p w14:paraId="6D37224E">
      <w:pPr>
        <w:spacing w:after="0" w:line="5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2.毕业论文封面格式右上角的档案号组成如下图所示。图内空白处为学校档案室根据档案管理要求填写，学生不必填写。档案号图示中的“</w:t>
      </w:r>
      <w:r>
        <w:rPr>
          <w:rFonts w:ascii="宋体" w:hAnsi="宋体" w:eastAsia="宋体" w:cs="宋体"/>
          <w:sz w:val="28"/>
          <w:szCs w:val="28"/>
        </w:rPr>
        <w:t>20</w:t>
      </w:r>
      <w:r>
        <w:rPr>
          <w:rFonts w:hint="eastAsia" w:ascii="宋体" w:hAnsi="宋体" w:eastAsia="宋体" w:cs="宋体"/>
          <w:sz w:val="28"/>
          <w:szCs w:val="28"/>
        </w:rPr>
        <w:t>__”空白处为可变更的毕业届数，学生需根据毕业的年份进行填写。如，某学生毕业时间为202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年，则应填“</w:t>
      </w:r>
      <w:r>
        <w:rPr>
          <w:rFonts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ascii="宋体" w:hAnsi="宋体" w:eastAsia="宋体" w:cs="宋体"/>
          <w:sz w:val="28"/>
          <w:szCs w:val="28"/>
        </w:rPr>
        <w:t>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,JX16-</w:t>
      </w:r>
      <w:r>
        <w:rPr>
          <w:rFonts w:hint="eastAsia" w:ascii="宋体" w:hAnsi="宋体" w:eastAsia="宋体" w:cs="宋体"/>
          <w:sz w:val="28"/>
          <w:szCs w:val="28"/>
        </w:rPr>
        <w:t>空白处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空着</w:t>
      </w:r>
      <w:bookmarkStart w:id="1" w:name="_GoBack"/>
      <w:bookmarkEnd w:id="1"/>
      <w:r>
        <w:rPr>
          <w:rFonts w:hint="eastAsia" w:ascii="宋体" w:hAnsi="宋体" w:eastAsia="宋体" w:cs="宋体"/>
          <w:sz w:val="28"/>
          <w:szCs w:val="28"/>
        </w:rPr>
        <w:t>。</w:t>
      </w:r>
    </w:p>
    <w:tbl>
      <w:tblPr>
        <w:tblStyle w:val="21"/>
        <w:tblpPr w:leftFromText="180" w:rightFromText="180" w:vertAnchor="text" w:horzAnchor="margin" w:tblpXSpec="right" w:tblpY="241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624"/>
        <w:gridCol w:w="2270"/>
      </w:tblGrid>
      <w:tr w14:paraId="0CDB8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74" w:type="dxa"/>
            <w:vMerge w:val="restart"/>
            <w:vAlign w:val="center"/>
          </w:tcPr>
          <w:p w14:paraId="7A1B27CD">
            <w:pPr>
              <w:spacing w:line="400" w:lineRule="exact"/>
            </w:pPr>
            <w:r>
              <w:rPr>
                <w:rFonts w:hint="eastAsia"/>
                <w:b/>
                <w:sz w:val="30"/>
              </w:rPr>
              <w:t>广东财经大学</w:t>
            </w:r>
          </w:p>
        </w:tc>
        <w:tc>
          <w:tcPr>
            <w:tcW w:w="624" w:type="dxa"/>
            <w:vMerge w:val="restart"/>
            <w:vAlign w:val="center"/>
          </w:tcPr>
          <w:p w14:paraId="0EEC85B5">
            <w:pPr>
              <w:spacing w:line="400" w:lineRule="exact"/>
              <w:rPr>
                <w:b/>
                <w:sz w:val="30"/>
              </w:rPr>
            </w:pPr>
          </w:p>
        </w:tc>
        <w:tc>
          <w:tcPr>
            <w:tcW w:w="2270" w:type="dxa"/>
            <w:vAlign w:val="center"/>
          </w:tcPr>
          <w:p w14:paraId="4B99A89B">
            <w:pPr>
              <w:spacing w:line="400" w:lineRule="exact"/>
              <w:rPr>
                <w:b/>
                <w:sz w:val="30"/>
              </w:rPr>
            </w:pPr>
            <w:r>
              <w:rPr>
                <w:b/>
                <w:sz w:val="30"/>
              </w:rPr>
              <w:t>20</w:t>
            </w:r>
            <w:r>
              <w:rPr>
                <w:rFonts w:hint="eastAsia"/>
                <w:b/>
                <w:sz w:val="30"/>
              </w:rPr>
              <w:t>__JX16-</w:t>
            </w:r>
          </w:p>
        </w:tc>
      </w:tr>
      <w:tr w14:paraId="215496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74" w:type="dxa"/>
            <w:vMerge w:val="continue"/>
            <w:vAlign w:val="center"/>
          </w:tcPr>
          <w:p w14:paraId="028C5257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624" w:type="dxa"/>
            <w:vMerge w:val="continue"/>
            <w:vAlign w:val="center"/>
          </w:tcPr>
          <w:p w14:paraId="15F0275A">
            <w:pPr>
              <w:spacing w:line="400" w:lineRule="exact"/>
              <w:rPr>
                <w:rFonts w:ascii="宋体" w:hAnsi="宋体"/>
                <w:b/>
              </w:rPr>
            </w:pPr>
          </w:p>
        </w:tc>
        <w:tc>
          <w:tcPr>
            <w:tcW w:w="2270" w:type="dxa"/>
            <w:vAlign w:val="center"/>
          </w:tcPr>
          <w:p w14:paraId="3AE564AC">
            <w:pPr>
              <w:spacing w:line="400" w:lineRule="exact"/>
              <w:rPr>
                <w:rFonts w:ascii="宋体" w:hAnsi="宋体"/>
                <w:b/>
              </w:rPr>
            </w:pPr>
          </w:p>
        </w:tc>
      </w:tr>
    </w:tbl>
    <w:p w14:paraId="79EA5C09">
      <w:pPr>
        <w:tabs>
          <w:tab w:val="left" w:pos="540"/>
        </w:tabs>
        <w:ind w:left="643"/>
        <w:rPr>
          <w:sz w:val="28"/>
          <w:szCs w:val="24"/>
          <w:lang w:val="en-GB"/>
        </w:rPr>
      </w:pPr>
    </w:p>
    <w:p w14:paraId="7198A7F5">
      <w:pPr>
        <w:pStyle w:val="37"/>
        <w:tabs>
          <w:tab w:val="left" w:pos="540"/>
        </w:tabs>
        <w:ind w:left="1723" w:firstLine="0" w:firstLineChars="0"/>
        <w:rPr>
          <w:rFonts w:ascii="宋体" w:hAnsi="宋体"/>
          <w:lang w:val="en-GB"/>
        </w:rPr>
      </w:pPr>
    </w:p>
    <w:p w14:paraId="48BF1654">
      <w:pPr>
        <w:pStyle w:val="37"/>
        <w:numPr>
          <w:ilvl w:val="0"/>
          <w:numId w:val="1"/>
        </w:numPr>
        <w:ind w:firstLineChars="0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摘要</w:t>
      </w:r>
    </w:p>
    <w:p w14:paraId="7B3AC278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摘要是论文内容的简要陈述，需客观陈述观点，一般应说明研究目的、研究方法、结果和最终结论等，用第三人称表述方式，不得采用“本文</w:t>
      </w:r>
      <w:r>
        <w:rPr>
          <w:rFonts w:ascii="宋体" w:hAnsi="宋体" w:eastAsia="宋体" w:cs="宋体"/>
          <w:sz w:val="28"/>
          <w:szCs w:val="28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、“作者</w:t>
      </w:r>
      <w:r>
        <w:rPr>
          <w:rFonts w:ascii="宋体" w:hAnsi="宋体" w:eastAsia="宋体" w:cs="宋体"/>
          <w:sz w:val="28"/>
          <w:szCs w:val="28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等第一人称表达方式。</w:t>
      </w:r>
    </w:p>
    <w:p w14:paraId="097C3B38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中文摘要篇幅一般为200～300个字，“</w:t>
      </w:r>
      <w:r>
        <w:rPr>
          <w:rFonts w:hint="eastAsia" w:ascii="黑体" w:hAnsi="黑体" w:eastAsia="黑体" w:cs="宋体"/>
          <w:sz w:val="32"/>
          <w:szCs w:val="32"/>
        </w:rPr>
        <w:t>摘要</w:t>
      </w:r>
      <w:r>
        <w:rPr>
          <w:rFonts w:hint="eastAsia" w:ascii="宋体" w:hAnsi="宋体" w:eastAsia="宋体" w:cs="宋体"/>
          <w:sz w:val="28"/>
          <w:szCs w:val="28"/>
        </w:rPr>
        <w:t>”标题用三号黑体加粗居中，</w:t>
      </w:r>
      <w:r>
        <w:rPr>
          <w:rFonts w:ascii="宋体" w:hAnsi="宋体" w:eastAsia="宋体" w:cs="宋体"/>
          <w:sz w:val="28"/>
          <w:szCs w:val="28"/>
        </w:rPr>
        <w:t>摘要内容上空</w:t>
      </w:r>
      <w:r>
        <w:rPr>
          <w:rFonts w:hint="eastAsia" w:ascii="宋体" w:hAnsi="宋体" w:eastAsia="宋体" w:cs="宋体"/>
          <w:sz w:val="28"/>
          <w:szCs w:val="28"/>
        </w:rPr>
        <w:t>一行，左起空两个字行文，用四号宋体。</w:t>
      </w:r>
    </w:p>
    <w:p w14:paraId="35B27263">
      <w:pPr>
        <w:pStyle w:val="12"/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英文摘要篇幅不超过250个实词，“</w:t>
      </w:r>
      <w:r>
        <w:rPr>
          <w:rFonts w:ascii="Times New Roman" w:hAnsi="Times New Roman" w:eastAsia="宋体" w:cs="Times New Roman"/>
          <w:sz w:val="32"/>
          <w:szCs w:val="32"/>
        </w:rPr>
        <w:t>Abstract</w:t>
      </w:r>
      <w:r>
        <w:rPr>
          <w:rFonts w:ascii="宋体" w:hAnsi="宋体" w:eastAsia="宋体" w:cs="宋体"/>
          <w:sz w:val="28"/>
          <w:szCs w:val="28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标题词用三号Times New Roman字体加粗</w:t>
      </w:r>
      <w:r>
        <w:rPr>
          <w:rFonts w:ascii="宋体" w:hAnsi="宋体" w:eastAsia="宋体" w:cs="宋体"/>
          <w:sz w:val="28"/>
          <w:szCs w:val="28"/>
        </w:rPr>
        <w:t>居中，下空一行</w:t>
      </w:r>
      <w:r>
        <w:rPr>
          <w:rFonts w:hint="eastAsia" w:ascii="宋体" w:hAnsi="宋体" w:eastAsia="宋体" w:cs="宋体"/>
          <w:sz w:val="28"/>
          <w:szCs w:val="28"/>
        </w:rPr>
        <w:t>,英文摘要正文左起空四个字符行文，用Times New Roman四号。</w:t>
      </w:r>
    </w:p>
    <w:p w14:paraId="618B33B3">
      <w:pPr>
        <w:pStyle w:val="37"/>
        <w:numPr>
          <w:ilvl w:val="0"/>
          <w:numId w:val="1"/>
        </w:numPr>
        <w:ind w:firstLineChars="0"/>
        <w:jc w:val="both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关键词</w:t>
      </w:r>
    </w:p>
    <w:p w14:paraId="6D03EBFE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关键词是表示全文主题内容信息的单词或术语。一般选取3～</w:t>
      </w: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个，另起一行，排在摘要的下方。</w:t>
      </w:r>
    </w:p>
    <w:p w14:paraId="0AA09AC1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中文</w:t>
      </w:r>
      <w:r>
        <w:rPr>
          <w:rFonts w:hint="eastAsia" w:ascii="黑体" w:hAnsi="黑体" w:eastAsia="黑体" w:cs="宋体"/>
          <w:b/>
          <w:sz w:val="28"/>
          <w:szCs w:val="28"/>
        </w:rPr>
        <w:t>“关键词”</w:t>
      </w:r>
      <w:r>
        <w:rPr>
          <w:rFonts w:hint="eastAsia" w:ascii="宋体" w:hAnsi="宋体" w:eastAsia="宋体" w:cs="宋体"/>
          <w:sz w:val="28"/>
          <w:szCs w:val="28"/>
        </w:rPr>
        <w:t>用四号黑体加粗左对齐，关键词</w:t>
      </w:r>
      <w:r>
        <w:rPr>
          <w:rFonts w:ascii="宋体" w:hAnsi="宋体" w:eastAsia="宋体" w:cs="宋体"/>
          <w:sz w:val="28"/>
          <w:szCs w:val="28"/>
        </w:rPr>
        <w:t>内容</w:t>
      </w:r>
      <w:r>
        <w:rPr>
          <w:rFonts w:hint="eastAsia" w:ascii="宋体" w:hAnsi="宋体" w:eastAsia="宋体" w:cs="宋体"/>
          <w:sz w:val="28"/>
          <w:szCs w:val="28"/>
        </w:rPr>
        <w:t>用四号宋体,词与词之间用中文分号隔开。</w:t>
      </w:r>
    </w:p>
    <w:p w14:paraId="7579F2AF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英文</w:t>
      </w:r>
      <w:r>
        <w:rPr>
          <w:rFonts w:ascii="宋体" w:hAnsi="宋体" w:eastAsia="宋体" w:cs="宋体"/>
          <w:sz w:val="28"/>
          <w:szCs w:val="28"/>
        </w:rPr>
        <w:t>“</w:t>
      </w:r>
      <w:r>
        <w:rPr>
          <w:rFonts w:ascii="Times New Roman" w:hAnsi="Times New Roman" w:eastAsia="宋体" w:cs="Times New Roman"/>
          <w:b/>
          <w:sz w:val="28"/>
          <w:szCs w:val="28"/>
        </w:rPr>
        <w:t>Key words</w:t>
      </w:r>
      <w:r>
        <w:rPr>
          <w:rFonts w:hint="eastAsia" w:ascii="宋体" w:hAnsi="宋体" w:eastAsia="宋体" w:cs="宋体"/>
          <w:sz w:val="28"/>
          <w:szCs w:val="28"/>
        </w:rPr>
        <w:t>”用Times New Roman四号加粗左对齐, 关键词内容用Times New Roman四号,关键词之间用英文分号隔开。</w:t>
      </w:r>
    </w:p>
    <w:p w14:paraId="24F125A9">
      <w:pPr>
        <w:ind w:firstLine="643" w:firstLineChars="200"/>
        <w:rPr>
          <w:rFonts w:ascii="宋体" w:hAnsi="宋体"/>
          <w:b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（四）目录</w:t>
      </w:r>
    </w:p>
    <w:p w14:paraId="7CFF9D84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目录</w:t>
      </w:r>
      <w:r>
        <w:rPr>
          <w:rFonts w:ascii="宋体" w:hAnsi="宋体" w:eastAsia="宋体" w:cs="宋体"/>
          <w:sz w:val="28"/>
          <w:szCs w:val="28"/>
        </w:rPr>
        <w:t>由论文分级标题及参考文献、附录、</w:t>
      </w:r>
      <w:r>
        <w:rPr>
          <w:rFonts w:hint="eastAsia" w:ascii="宋体" w:hAnsi="宋体" w:eastAsia="宋体" w:cs="宋体"/>
          <w:sz w:val="28"/>
          <w:szCs w:val="28"/>
        </w:rPr>
        <w:t>致谢等部分组成，目录一般列第一、二级标题，重要部分可列至第三级标题。</w:t>
      </w:r>
    </w:p>
    <w:p w14:paraId="636468D8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</w:t>
      </w:r>
      <w:r>
        <w:rPr>
          <w:rFonts w:hint="eastAsia" w:ascii="宋体" w:hAnsi="宋体" w:eastAsia="宋体" w:cs="宋体"/>
          <w:b/>
          <w:sz w:val="32"/>
          <w:szCs w:val="32"/>
        </w:rPr>
        <w:t>目录</w:t>
      </w:r>
      <w:r>
        <w:rPr>
          <w:rFonts w:hint="eastAsia" w:ascii="宋体" w:hAnsi="宋体" w:eastAsia="宋体" w:cs="宋体"/>
          <w:sz w:val="28"/>
          <w:szCs w:val="28"/>
        </w:rPr>
        <w:t>”两字居中排，中间空四个字空，用三号宋体加粗。</w:t>
      </w:r>
      <w:r>
        <w:rPr>
          <w:rFonts w:ascii="宋体" w:hAnsi="宋体" w:eastAsia="宋体" w:cs="宋体"/>
          <w:sz w:val="28"/>
          <w:szCs w:val="28"/>
        </w:rPr>
        <w:t>目录正文上空一行，</w:t>
      </w:r>
      <w:r>
        <w:rPr>
          <w:rFonts w:hint="eastAsia" w:ascii="宋体" w:hAnsi="宋体" w:eastAsia="宋体" w:cs="宋体"/>
          <w:sz w:val="28"/>
          <w:szCs w:val="28"/>
        </w:rPr>
        <w:t>行间距为25磅。第一级标题用“</w:t>
      </w:r>
      <w:r>
        <w:rPr>
          <w:rFonts w:hint="eastAsia" w:ascii="黑体" w:hAnsi="黑体" w:eastAsia="黑体" w:cs="宋体"/>
          <w:b/>
          <w:sz w:val="28"/>
          <w:szCs w:val="28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”，第二级标题用“（一）”，第三级标题用“1.”。第一级标题用四号黑体加粗，第二级标题用四号宋体，第三级标题用四号宋体。</w:t>
      </w:r>
    </w:p>
    <w:p w14:paraId="24B14658">
      <w:pPr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（五）正文</w:t>
      </w:r>
    </w:p>
    <w:p w14:paraId="5D88574C">
      <w:pPr>
        <w:spacing w:after="0" w:line="500" w:lineRule="exact"/>
        <w:ind w:firstLine="562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</w:t>
      </w:r>
      <w:r>
        <w:rPr>
          <w:rFonts w:ascii="宋体" w:hAnsi="宋体" w:eastAsia="宋体" w:cs="宋体"/>
          <w:b/>
          <w:sz w:val="28"/>
          <w:szCs w:val="28"/>
        </w:rPr>
        <w:t>.页眉。</w:t>
      </w:r>
      <w:r>
        <w:rPr>
          <w:rFonts w:ascii="宋体" w:hAnsi="宋体" w:eastAsia="宋体" w:cs="宋体"/>
          <w:sz w:val="28"/>
          <w:szCs w:val="28"/>
        </w:rPr>
        <w:t>从</w:t>
      </w:r>
      <w:r>
        <w:rPr>
          <w:rFonts w:hint="eastAsia" w:ascii="宋体" w:hAnsi="宋体" w:eastAsia="宋体" w:cs="宋体"/>
          <w:sz w:val="28"/>
          <w:szCs w:val="28"/>
        </w:rPr>
        <w:t>正文页开始标注页眉，直至正文页结束（含注释、参考文献和附录）。页眉左齐部分为：“</w:t>
      </w:r>
      <w:r>
        <w:rPr>
          <w:rFonts w:hint="eastAsia" w:ascii="黑体" w:hAnsi="黑体" w:eastAsia="黑体" w:cs="宋体"/>
          <w:sz w:val="18"/>
          <w:szCs w:val="18"/>
        </w:rPr>
        <w:t>广东财经大学**学院</w:t>
      </w:r>
      <w:r>
        <w:rPr>
          <w:rFonts w:ascii="宋体" w:hAnsi="宋体" w:eastAsia="宋体" w:cs="宋体"/>
          <w:sz w:val="28"/>
          <w:szCs w:val="28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全称；页眉右齐为论文的题目（主标题即可</w:t>
      </w:r>
      <w:r>
        <w:rPr>
          <w:rFonts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。页眉下加细横线，字体采用黑体小五号，具体格式按模板。</w:t>
      </w:r>
    </w:p>
    <w:p w14:paraId="2F2259F3">
      <w:pPr>
        <w:spacing w:after="0" w:line="500" w:lineRule="exact"/>
        <w:ind w:firstLine="562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2.标题。</w:t>
      </w:r>
      <w:r>
        <w:rPr>
          <w:rFonts w:hint="eastAsia" w:ascii="宋体" w:hAnsi="宋体" w:eastAsia="宋体" w:cs="宋体"/>
          <w:sz w:val="28"/>
          <w:szCs w:val="28"/>
        </w:rPr>
        <w:t>页眉下排论文题名。题名是以最恰当、最简明的词语反映论文最重要的特定内容的逻辑组合。题名应该避免使用不常见的缩略词、首字母缩写字、字符、代号和公式等。题名一般不超过2</w:t>
      </w:r>
      <w:r>
        <w:rPr>
          <w:rFonts w:ascii="宋体" w:hAnsi="宋体" w:eastAsia="宋体" w:cs="宋体"/>
          <w:sz w:val="28"/>
          <w:szCs w:val="28"/>
        </w:rPr>
        <w:t>0个</w:t>
      </w:r>
      <w:r>
        <w:rPr>
          <w:rFonts w:hint="eastAsia" w:ascii="宋体" w:hAnsi="宋体" w:eastAsia="宋体" w:cs="宋体"/>
          <w:sz w:val="28"/>
          <w:szCs w:val="28"/>
        </w:rPr>
        <w:t>字，题名语意末尽，可用副题名补充说明论文中的特定内容。题名上下各空一行，用小二号黑体居中排版，如有副题名，可在主题名第三个字下排破折号及副题名，副题名用三号宋体，主题名与副题名间不空行。</w:t>
      </w:r>
    </w:p>
    <w:p w14:paraId="4F92CE61">
      <w:pPr>
        <w:spacing w:after="0" w:line="500" w:lineRule="exact"/>
        <w:ind w:firstLine="562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sz w:val="28"/>
          <w:szCs w:val="28"/>
        </w:rPr>
        <w:t>3</w:t>
      </w:r>
      <w:r>
        <w:rPr>
          <w:rFonts w:hint="eastAsia" w:ascii="宋体" w:hAnsi="宋体" w:eastAsia="宋体" w:cs="宋体"/>
          <w:b/>
          <w:sz w:val="28"/>
          <w:szCs w:val="28"/>
        </w:rPr>
        <w:t>．正文。</w:t>
      </w:r>
      <w:r>
        <w:rPr>
          <w:rFonts w:hint="eastAsia" w:ascii="宋体" w:hAnsi="宋体" w:eastAsia="宋体" w:cs="宋体"/>
          <w:sz w:val="28"/>
          <w:szCs w:val="28"/>
        </w:rPr>
        <w:t>正文是论文的主要部分，篇幅一般要求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000字以上（不含</w:t>
      </w:r>
      <w:r>
        <w:rPr>
          <w:rFonts w:ascii="宋体" w:hAnsi="宋体" w:eastAsia="宋体" w:cs="宋体"/>
          <w:sz w:val="28"/>
          <w:szCs w:val="28"/>
        </w:rPr>
        <w:t>附录、</w:t>
      </w:r>
      <w:r>
        <w:rPr>
          <w:rFonts w:hint="eastAsia" w:ascii="宋体" w:hAnsi="宋体" w:eastAsia="宋体" w:cs="宋体"/>
          <w:sz w:val="28"/>
          <w:szCs w:val="28"/>
        </w:rPr>
        <w:t>致谢），正文包括前言、主体及结语等部分。论文从前言或引言开始，对论文研究背景、意义，主要内容、思路与方法进行说明。如果论文没有专门部分对与</w:t>
      </w:r>
      <w:r>
        <w:rPr>
          <w:rFonts w:ascii="宋体" w:hAnsi="宋体" w:eastAsia="宋体" w:cs="宋体"/>
          <w:sz w:val="28"/>
          <w:szCs w:val="28"/>
        </w:rPr>
        <w:t>论题相关的</w:t>
      </w:r>
      <w:r>
        <w:rPr>
          <w:rFonts w:hint="eastAsia" w:ascii="宋体" w:hAnsi="宋体" w:eastAsia="宋体" w:cs="宋体"/>
          <w:sz w:val="28"/>
          <w:szCs w:val="28"/>
        </w:rPr>
        <w:t>已有研究成果进行回顾，引言还需增加文献综述部分。正文的主体部分则根据作者的选题和思路确定。论文最后一部分通常为结论或（和）建议。</w:t>
      </w:r>
    </w:p>
    <w:p w14:paraId="19FE24CA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毕业论文的层级建议用一、（一） 1.（1）来标注；第一级标题用三号黑体加粗，居中上下各空一行；第二级标题用小三号黑体，左</w:t>
      </w:r>
      <w:r>
        <w:rPr>
          <w:rFonts w:ascii="宋体" w:hAnsi="宋体" w:eastAsia="宋体" w:cs="宋体"/>
          <w:sz w:val="28"/>
          <w:szCs w:val="28"/>
        </w:rPr>
        <w:t>起空</w:t>
      </w:r>
      <w:r>
        <w:rPr>
          <w:rFonts w:hint="eastAsia" w:ascii="宋体" w:hAnsi="宋体" w:eastAsia="宋体" w:cs="宋体"/>
          <w:sz w:val="28"/>
          <w:szCs w:val="28"/>
        </w:rPr>
        <w:t>两个字符，上下各空一行；第三及以后级标题用四号黑体，左</w:t>
      </w:r>
      <w:r>
        <w:rPr>
          <w:rFonts w:ascii="宋体" w:hAnsi="宋体" w:eastAsia="宋体" w:cs="宋体"/>
          <w:sz w:val="28"/>
          <w:szCs w:val="28"/>
        </w:rPr>
        <w:t>起空</w:t>
      </w:r>
      <w:r>
        <w:rPr>
          <w:rFonts w:hint="eastAsia" w:ascii="宋体" w:hAnsi="宋体" w:eastAsia="宋体" w:cs="宋体"/>
          <w:sz w:val="28"/>
          <w:szCs w:val="28"/>
        </w:rPr>
        <w:t>两个字符，不空行；正文用小四号宋体，行间距固定值为20磅；图题及图中文字原则上用五号宋体，图题、表题要按顺序编号，表题居中放在表格上方，图题居中放在图的下方。</w:t>
      </w:r>
    </w:p>
    <w:p w14:paraId="3827C991">
      <w:pPr>
        <w:ind w:firstLine="643" w:firstLineChars="200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（六）注释</w:t>
      </w:r>
    </w:p>
    <w:p w14:paraId="7644D06C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毕业论文的“注释”是对文中某些内容所作的说明，按文中各注释出现的顺序，采用数字加圆圈编号，正文中在</w:t>
      </w:r>
      <w:r>
        <w:rPr>
          <w:rFonts w:ascii="宋体" w:hAnsi="宋体" w:eastAsia="宋体" w:cs="宋体"/>
          <w:sz w:val="28"/>
          <w:szCs w:val="28"/>
        </w:rPr>
        <w:t>注释所在行标</w:t>
      </w:r>
      <w:r>
        <w:rPr>
          <w:rFonts w:hint="eastAsia" w:ascii="宋体" w:hAnsi="宋体" w:eastAsia="宋体" w:cs="宋体"/>
          <w:sz w:val="28"/>
          <w:szCs w:val="28"/>
        </w:rPr>
        <w:t>点前以上标方式标出，如“……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①</w:t>
      </w:r>
      <w:r>
        <w:rPr>
          <w:rFonts w:hint="eastAsia" w:ascii="宋体" w:hAnsi="宋体" w:eastAsia="宋体" w:cs="宋体"/>
          <w:sz w:val="28"/>
          <w:szCs w:val="28"/>
        </w:rPr>
        <w:t>。”注释的内容在注释当页下以脚注形式标注，用5号宋体字排版。</w:t>
      </w:r>
    </w:p>
    <w:p w14:paraId="71F23B2B">
      <w:pPr>
        <w:ind w:firstLine="643" w:firstLineChars="200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（七）</w:t>
      </w:r>
      <w:r>
        <w:rPr>
          <w:rFonts w:eastAsia="黑体"/>
          <w:b/>
          <w:sz w:val="32"/>
          <w:szCs w:val="24"/>
          <w:lang w:val="en-GB"/>
        </w:rPr>
        <w:t>参考文献</w:t>
      </w:r>
    </w:p>
    <w:p w14:paraId="1F25DBA5">
      <w:pPr>
        <w:spacing w:line="5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考文献是在学术研究过程中,对一些观点、数据等的参考或借鉴，所标引的文献必须是出自正式出版物。参考文献分引文型参考文献和阅读型参考文献，参考文献需在正文中标注引文具体位置，引文型参考文献标注参考文献的具体页码，阅读型参考文献标注参考范围。参考文献的著录均应符合国家标准《信息与文献参考文献著录规则》（GB/T7714—2015）。</w:t>
      </w:r>
    </w:p>
    <w:p w14:paraId="356FFBBE">
      <w:pPr>
        <w:snapToGrid w:val="0"/>
        <w:spacing w:after="0" w:line="500" w:lineRule="exact"/>
        <w:ind w:firstLine="560" w:firstLineChars="200"/>
        <w:jc w:val="both"/>
        <w:rPr>
          <w:rFonts w:ascii="宋体" w:hAnsi="宋体" w:cs="宋体"/>
          <w:color w:val="FF0000"/>
          <w:sz w:val="28"/>
          <w:szCs w:val="28"/>
          <w:lang w:val="en-GB"/>
        </w:rPr>
      </w:pPr>
      <w:r>
        <w:rPr>
          <w:rFonts w:hint="eastAsia" w:ascii="宋体" w:hAnsi="宋体" w:cs="宋体"/>
          <w:sz w:val="28"/>
          <w:szCs w:val="28"/>
          <w:lang w:val="en-GB"/>
        </w:rPr>
        <w:t>参考文献按顺序编码制编排，</w:t>
      </w:r>
      <w:bookmarkStart w:id="0" w:name="OLE_LINK1"/>
      <w:r>
        <w:rPr>
          <w:rFonts w:hint="eastAsia" w:ascii="宋体" w:hAnsi="宋体" w:cs="宋体"/>
          <w:sz w:val="28"/>
          <w:szCs w:val="28"/>
          <w:lang w:val="en-GB"/>
        </w:rPr>
        <w:t>并用数字加方括号表示，如</w:t>
      </w:r>
      <w:r>
        <w:rPr>
          <w:rFonts w:ascii="宋体" w:hAnsi="宋体" w:cs="宋体"/>
          <w:sz w:val="28"/>
          <w:szCs w:val="28"/>
          <w:lang w:val="en-GB"/>
        </w:rPr>
        <w:t>[1]</w:t>
      </w:r>
      <w:r>
        <w:rPr>
          <w:rFonts w:hint="eastAsia" w:ascii="宋体" w:hAnsi="宋体" w:cs="宋体"/>
          <w:sz w:val="28"/>
          <w:szCs w:val="28"/>
          <w:lang w:val="en-GB"/>
        </w:rPr>
        <w:t>…</w:t>
      </w:r>
      <w:bookmarkEnd w:id="0"/>
      <w:r>
        <w:rPr>
          <w:rFonts w:hint="eastAsia" w:ascii="宋体" w:hAnsi="宋体" w:cs="宋体"/>
          <w:sz w:val="28"/>
          <w:szCs w:val="28"/>
          <w:lang w:val="en-GB"/>
        </w:rPr>
        <w:t>…，在正文中引用该文献的标点前以上标方式标出,</w:t>
      </w:r>
      <w:r>
        <w:rPr>
          <w:rFonts w:ascii="宋体" w:hAnsi="宋体" w:cs="宋体"/>
          <w:sz w:val="28"/>
          <w:szCs w:val="28"/>
          <w:lang w:val="en-GB"/>
        </w:rPr>
        <w:t>如</w:t>
      </w:r>
      <w:r>
        <w:rPr>
          <w:rFonts w:hint="eastAsia" w:ascii="宋体" w:hAnsi="宋体" w:cs="宋体"/>
          <w:sz w:val="28"/>
          <w:szCs w:val="28"/>
          <w:lang w:val="en-GB"/>
        </w:rPr>
        <w:t>“……</w:t>
      </w:r>
      <w:r>
        <w:rPr>
          <w:rFonts w:hint="eastAsia" w:ascii="宋体" w:hAnsi="宋体" w:cs="宋体"/>
          <w:sz w:val="28"/>
          <w:szCs w:val="28"/>
          <w:vertAlign w:val="superscript"/>
          <w:lang w:val="en-GB"/>
        </w:rPr>
        <w:t>[</w:t>
      </w:r>
      <w:r>
        <w:rPr>
          <w:rFonts w:ascii="宋体" w:hAnsi="宋体" w:cs="宋体"/>
          <w:sz w:val="28"/>
          <w:szCs w:val="28"/>
          <w:vertAlign w:val="superscript"/>
          <w:lang w:val="en-GB"/>
        </w:rPr>
        <w:t>1]</w:t>
      </w:r>
      <w:r>
        <w:rPr>
          <w:rFonts w:hint="eastAsia" w:ascii="宋体" w:hAnsi="宋体" w:cs="宋体"/>
          <w:sz w:val="28"/>
          <w:szCs w:val="28"/>
          <w:lang w:val="en-GB"/>
        </w:rPr>
        <w:t>。”，同一文献在论文中使用同一序号。</w:t>
      </w:r>
    </w:p>
    <w:p w14:paraId="35B68BBB">
      <w:pPr>
        <w:snapToGrid w:val="0"/>
        <w:spacing w:after="0" w:line="500" w:lineRule="exact"/>
        <w:ind w:firstLine="560" w:firstLineChars="200"/>
        <w:jc w:val="both"/>
        <w:rPr>
          <w:rFonts w:ascii="宋体" w:hAnsi="宋体" w:cs="宋体"/>
          <w:sz w:val="28"/>
          <w:szCs w:val="28"/>
          <w:lang w:val="en-GB"/>
        </w:rPr>
      </w:pPr>
      <w:r>
        <w:rPr>
          <w:rFonts w:hint="eastAsia" w:ascii="宋体" w:hAnsi="宋体" w:cs="宋体"/>
          <w:sz w:val="28"/>
          <w:szCs w:val="28"/>
          <w:lang w:val="en-GB"/>
        </w:rPr>
        <w:t>所有参考文献需在正文末按其在正文中被引用的先后顺序列出。参考文献当页以“</w:t>
      </w:r>
      <w:r>
        <w:rPr>
          <w:rFonts w:hint="eastAsia" w:ascii="黑体" w:hAnsi="黑体" w:eastAsia="黑体" w:cs="宋体"/>
          <w:b/>
          <w:sz w:val="32"/>
          <w:szCs w:val="32"/>
          <w:lang w:val="en-GB"/>
        </w:rPr>
        <w:t>参考文献</w:t>
      </w:r>
      <w:r>
        <w:rPr>
          <w:rFonts w:hint="eastAsia" w:ascii="宋体" w:hAnsi="宋体" w:cs="宋体"/>
          <w:sz w:val="28"/>
          <w:szCs w:val="28"/>
          <w:lang w:val="en-GB"/>
        </w:rPr>
        <w:t>”作标题，用三号黑体加粗，居中排，上下空一行。参考文献内容用五号宋体排版，英文参考文献内容用Times New Roman五号排版。每条参考文献内容的序号与正文中指示序号对应，左顶格，每一参考文献条目的最后均以“.”结束。</w:t>
      </w:r>
    </w:p>
    <w:p w14:paraId="35FDAE3A">
      <w:pPr>
        <w:snapToGrid w:val="0"/>
        <w:spacing w:after="0" w:line="500" w:lineRule="exact"/>
        <w:ind w:firstLine="560" w:firstLineChars="200"/>
        <w:jc w:val="both"/>
        <w:rPr>
          <w:rFonts w:ascii="宋体" w:hAnsi="宋体" w:cs="宋体"/>
          <w:sz w:val="28"/>
          <w:szCs w:val="28"/>
          <w:lang w:val="en-GB"/>
        </w:rPr>
      </w:pPr>
      <w:r>
        <w:rPr>
          <w:rFonts w:hint="eastAsia" w:ascii="宋体" w:hAnsi="宋体" w:cs="宋体"/>
          <w:sz w:val="28"/>
          <w:szCs w:val="28"/>
          <w:lang w:val="en-GB"/>
        </w:rPr>
        <w:t>参考文献类型</w:t>
      </w:r>
      <w:r>
        <w:rPr>
          <w:rFonts w:ascii="宋体" w:hAnsi="宋体" w:cs="宋体"/>
          <w:sz w:val="28"/>
          <w:szCs w:val="28"/>
          <w:lang w:val="en-GB"/>
        </w:rPr>
        <w:t>和</w:t>
      </w:r>
      <w:r>
        <w:rPr>
          <w:rFonts w:hint="eastAsia" w:ascii="宋体" w:hAnsi="宋体" w:cs="宋体"/>
          <w:sz w:val="28"/>
          <w:szCs w:val="28"/>
          <w:lang w:val="en-GB"/>
        </w:rPr>
        <w:t>标识</w:t>
      </w:r>
      <w:r>
        <w:rPr>
          <w:rFonts w:ascii="宋体" w:hAnsi="宋体" w:cs="宋体"/>
          <w:sz w:val="28"/>
          <w:szCs w:val="28"/>
          <w:lang w:val="en-GB"/>
        </w:rPr>
        <w:t>代码见</w:t>
      </w:r>
      <w:r>
        <w:rPr>
          <w:rFonts w:hint="eastAsia" w:ascii="宋体" w:hAnsi="宋体" w:cs="宋体"/>
          <w:sz w:val="28"/>
          <w:szCs w:val="28"/>
          <w:lang w:val="en-GB"/>
        </w:rPr>
        <w:t>表1</w:t>
      </w:r>
      <w:r>
        <w:rPr>
          <w:rFonts w:ascii="宋体" w:hAnsi="宋体" w:cs="宋体"/>
          <w:sz w:val="28"/>
          <w:szCs w:val="28"/>
          <w:lang w:val="en-GB"/>
        </w:rPr>
        <w:t>，</w:t>
      </w:r>
      <w:r>
        <w:rPr>
          <w:rFonts w:hint="eastAsia" w:ascii="宋体" w:hAnsi="宋体" w:cs="宋体"/>
          <w:sz w:val="28"/>
          <w:szCs w:val="28"/>
          <w:lang w:val="en-GB"/>
        </w:rPr>
        <w:t>其他未说明的文献类型，建议采用单字母“Z”。电子资源载体和标识代码见表2.</w:t>
      </w:r>
    </w:p>
    <w:p w14:paraId="00A7F74D">
      <w:pPr>
        <w:pStyle w:val="13"/>
        <w:jc w:val="center"/>
        <w:rPr>
          <w:rFonts w:ascii="仿宋" w:hAnsi="仿宋" w:eastAsia="仿宋" w:cs="Times New Roman"/>
          <w:b/>
        </w:rPr>
      </w:pPr>
    </w:p>
    <w:p w14:paraId="46E2B90F">
      <w:pPr>
        <w:pStyle w:val="13"/>
        <w:jc w:val="center"/>
        <w:rPr>
          <w:rFonts w:cs="Times New Roman" w:asciiTheme="minorEastAsia" w:hAnsiTheme="minorEastAsia"/>
          <w:b/>
          <w:sz w:val="21"/>
        </w:rPr>
      </w:pPr>
      <w:r>
        <w:rPr>
          <w:rFonts w:hint="eastAsia" w:cs="Times New Roman" w:asciiTheme="minorEastAsia" w:hAnsiTheme="minorEastAsia"/>
          <w:b/>
          <w:sz w:val="21"/>
        </w:rPr>
        <w:t>表1文献类型和标识代码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07"/>
        <w:gridCol w:w="707"/>
        <w:gridCol w:w="707"/>
        <w:gridCol w:w="707"/>
        <w:gridCol w:w="707"/>
        <w:gridCol w:w="513"/>
        <w:gridCol w:w="510"/>
        <w:gridCol w:w="510"/>
        <w:gridCol w:w="510"/>
        <w:gridCol w:w="558"/>
        <w:gridCol w:w="709"/>
        <w:gridCol w:w="562"/>
      </w:tblGrid>
      <w:tr w14:paraId="5B812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vAlign w:val="center"/>
          </w:tcPr>
          <w:p w14:paraId="20887BE8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参考文献类型</w:t>
            </w:r>
          </w:p>
        </w:tc>
        <w:tc>
          <w:tcPr>
            <w:tcW w:w="707" w:type="dxa"/>
            <w:vAlign w:val="center"/>
          </w:tcPr>
          <w:p w14:paraId="530571C5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普通图书</w:t>
            </w:r>
          </w:p>
        </w:tc>
        <w:tc>
          <w:tcPr>
            <w:tcW w:w="707" w:type="dxa"/>
            <w:vAlign w:val="center"/>
          </w:tcPr>
          <w:p w14:paraId="2CF95A84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会议论文</w:t>
            </w:r>
          </w:p>
        </w:tc>
        <w:tc>
          <w:tcPr>
            <w:tcW w:w="707" w:type="dxa"/>
            <w:vAlign w:val="center"/>
          </w:tcPr>
          <w:p w14:paraId="6678DB31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报纸文章</w:t>
            </w:r>
          </w:p>
        </w:tc>
        <w:tc>
          <w:tcPr>
            <w:tcW w:w="707" w:type="dxa"/>
            <w:vAlign w:val="center"/>
          </w:tcPr>
          <w:p w14:paraId="7D8CC699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期刊文章</w:t>
            </w:r>
          </w:p>
        </w:tc>
        <w:tc>
          <w:tcPr>
            <w:tcW w:w="707" w:type="dxa"/>
            <w:vAlign w:val="center"/>
          </w:tcPr>
          <w:p w14:paraId="4414661E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学位论文</w:t>
            </w:r>
          </w:p>
        </w:tc>
        <w:tc>
          <w:tcPr>
            <w:tcW w:w="513" w:type="dxa"/>
            <w:vAlign w:val="center"/>
          </w:tcPr>
          <w:p w14:paraId="423C3501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报告</w:t>
            </w:r>
          </w:p>
        </w:tc>
        <w:tc>
          <w:tcPr>
            <w:tcW w:w="510" w:type="dxa"/>
            <w:vAlign w:val="center"/>
          </w:tcPr>
          <w:p w14:paraId="4E95393A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标准</w:t>
            </w:r>
          </w:p>
        </w:tc>
        <w:tc>
          <w:tcPr>
            <w:tcW w:w="510" w:type="dxa"/>
            <w:vAlign w:val="center"/>
          </w:tcPr>
          <w:p w14:paraId="734F1A83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专利</w:t>
            </w:r>
          </w:p>
        </w:tc>
        <w:tc>
          <w:tcPr>
            <w:tcW w:w="510" w:type="dxa"/>
            <w:vAlign w:val="center"/>
          </w:tcPr>
          <w:p w14:paraId="4C8A19E4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汇编</w:t>
            </w:r>
          </w:p>
        </w:tc>
        <w:tc>
          <w:tcPr>
            <w:tcW w:w="558" w:type="dxa"/>
            <w:vAlign w:val="center"/>
          </w:tcPr>
          <w:p w14:paraId="010DF808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档案</w:t>
            </w:r>
          </w:p>
        </w:tc>
        <w:tc>
          <w:tcPr>
            <w:tcW w:w="709" w:type="dxa"/>
            <w:vAlign w:val="center"/>
          </w:tcPr>
          <w:p w14:paraId="775226F0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数据库</w:t>
            </w:r>
          </w:p>
        </w:tc>
        <w:tc>
          <w:tcPr>
            <w:tcW w:w="562" w:type="dxa"/>
            <w:vAlign w:val="center"/>
          </w:tcPr>
          <w:p w14:paraId="79526D97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古籍</w:t>
            </w:r>
          </w:p>
        </w:tc>
      </w:tr>
      <w:tr w14:paraId="0E7A1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vAlign w:val="center"/>
          </w:tcPr>
          <w:p w14:paraId="7419273B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文献类型标志</w:t>
            </w:r>
          </w:p>
        </w:tc>
        <w:tc>
          <w:tcPr>
            <w:tcW w:w="707" w:type="dxa"/>
            <w:vAlign w:val="center"/>
          </w:tcPr>
          <w:p w14:paraId="0942C3FC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M</w:t>
            </w:r>
          </w:p>
        </w:tc>
        <w:tc>
          <w:tcPr>
            <w:tcW w:w="707" w:type="dxa"/>
            <w:vAlign w:val="center"/>
          </w:tcPr>
          <w:p w14:paraId="56877D35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C</w:t>
            </w:r>
          </w:p>
        </w:tc>
        <w:tc>
          <w:tcPr>
            <w:tcW w:w="707" w:type="dxa"/>
            <w:vAlign w:val="center"/>
          </w:tcPr>
          <w:p w14:paraId="737C439C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N</w:t>
            </w:r>
          </w:p>
        </w:tc>
        <w:tc>
          <w:tcPr>
            <w:tcW w:w="707" w:type="dxa"/>
            <w:vAlign w:val="center"/>
          </w:tcPr>
          <w:p w14:paraId="0AB6427B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J</w:t>
            </w:r>
          </w:p>
        </w:tc>
        <w:tc>
          <w:tcPr>
            <w:tcW w:w="707" w:type="dxa"/>
            <w:vAlign w:val="center"/>
          </w:tcPr>
          <w:p w14:paraId="1F91D080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D</w:t>
            </w:r>
          </w:p>
        </w:tc>
        <w:tc>
          <w:tcPr>
            <w:tcW w:w="513" w:type="dxa"/>
            <w:vAlign w:val="center"/>
          </w:tcPr>
          <w:p w14:paraId="795124BF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R</w:t>
            </w:r>
          </w:p>
        </w:tc>
        <w:tc>
          <w:tcPr>
            <w:tcW w:w="510" w:type="dxa"/>
            <w:vAlign w:val="center"/>
          </w:tcPr>
          <w:p w14:paraId="423A1DC4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S</w:t>
            </w:r>
          </w:p>
        </w:tc>
        <w:tc>
          <w:tcPr>
            <w:tcW w:w="510" w:type="dxa"/>
            <w:vAlign w:val="center"/>
          </w:tcPr>
          <w:p w14:paraId="2C5110C4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P</w:t>
            </w:r>
          </w:p>
        </w:tc>
        <w:tc>
          <w:tcPr>
            <w:tcW w:w="510" w:type="dxa"/>
            <w:vAlign w:val="center"/>
          </w:tcPr>
          <w:p w14:paraId="233558A4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G</w:t>
            </w:r>
          </w:p>
        </w:tc>
        <w:tc>
          <w:tcPr>
            <w:tcW w:w="558" w:type="dxa"/>
            <w:vAlign w:val="center"/>
          </w:tcPr>
          <w:p w14:paraId="48B8FFDE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cs="Times New Roman" w:asciiTheme="minorEastAsia" w:hAnsiTheme="minorEastAsia"/>
                <w:sz w:val="21"/>
              </w:rPr>
              <w:t>A</w:t>
            </w:r>
          </w:p>
        </w:tc>
        <w:tc>
          <w:tcPr>
            <w:tcW w:w="709" w:type="dxa"/>
            <w:vAlign w:val="center"/>
          </w:tcPr>
          <w:p w14:paraId="062968DD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DB</w:t>
            </w:r>
          </w:p>
        </w:tc>
        <w:tc>
          <w:tcPr>
            <w:tcW w:w="562" w:type="dxa"/>
            <w:vAlign w:val="center"/>
          </w:tcPr>
          <w:p w14:paraId="684386FB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cs="Times New Roman" w:asciiTheme="minorEastAsia" w:hAnsiTheme="minorEastAsia"/>
                <w:sz w:val="21"/>
              </w:rPr>
              <w:t>O</w:t>
            </w:r>
          </w:p>
        </w:tc>
      </w:tr>
    </w:tbl>
    <w:p w14:paraId="16394114">
      <w:pPr>
        <w:snapToGrid w:val="0"/>
        <w:ind w:firstLine="420" w:firstLineChars="200"/>
        <w:jc w:val="center"/>
        <w:rPr>
          <w:rFonts w:asciiTheme="minorEastAsia" w:hAnsiTheme="minorEastAsia"/>
          <w:sz w:val="21"/>
          <w:szCs w:val="21"/>
          <w:lang w:val="en-GB"/>
        </w:rPr>
      </w:pPr>
    </w:p>
    <w:p w14:paraId="36C0ABA1">
      <w:pPr>
        <w:pStyle w:val="13"/>
        <w:jc w:val="center"/>
        <w:rPr>
          <w:rFonts w:cs="Times New Roman" w:asciiTheme="minorEastAsia" w:hAnsiTheme="minorEastAsia"/>
          <w:b/>
          <w:sz w:val="21"/>
        </w:rPr>
      </w:pPr>
      <w:r>
        <w:rPr>
          <w:rFonts w:cs="Times New Roman" w:asciiTheme="minorEastAsia" w:hAnsiTheme="minorEastAsia"/>
          <w:b/>
          <w:sz w:val="21"/>
        </w:rPr>
        <w:t>表</w:t>
      </w:r>
      <w:r>
        <w:rPr>
          <w:rFonts w:hint="eastAsia" w:cs="Times New Roman" w:asciiTheme="minorEastAsia" w:hAnsiTheme="minorEastAsia"/>
          <w:b/>
          <w:sz w:val="21"/>
        </w:rPr>
        <w:t>2子资源载体和标识代码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1399"/>
        <w:gridCol w:w="1687"/>
        <w:gridCol w:w="1687"/>
        <w:gridCol w:w="1518"/>
      </w:tblGrid>
      <w:tr w14:paraId="53946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6" w:type="dxa"/>
            <w:vAlign w:val="center"/>
          </w:tcPr>
          <w:p w14:paraId="49532A80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电子</w:t>
            </w:r>
            <w:r>
              <w:rPr>
                <w:rFonts w:cs="Times New Roman" w:asciiTheme="minorEastAsia" w:hAnsiTheme="minorEastAsia"/>
                <w:sz w:val="21"/>
              </w:rPr>
              <w:t>资源的载体类型</w:t>
            </w:r>
          </w:p>
        </w:tc>
        <w:tc>
          <w:tcPr>
            <w:tcW w:w="1399" w:type="dxa"/>
            <w:vAlign w:val="center"/>
          </w:tcPr>
          <w:p w14:paraId="3A9D3E72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磁带</w:t>
            </w:r>
          </w:p>
        </w:tc>
        <w:tc>
          <w:tcPr>
            <w:tcW w:w="1687" w:type="dxa"/>
            <w:vAlign w:val="center"/>
          </w:tcPr>
          <w:p w14:paraId="2697C47E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磁盘</w:t>
            </w:r>
          </w:p>
        </w:tc>
        <w:tc>
          <w:tcPr>
            <w:tcW w:w="1687" w:type="dxa"/>
            <w:vAlign w:val="center"/>
          </w:tcPr>
          <w:p w14:paraId="2B6FB909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光盘</w:t>
            </w:r>
          </w:p>
        </w:tc>
        <w:tc>
          <w:tcPr>
            <w:tcW w:w="1518" w:type="dxa"/>
            <w:vAlign w:val="center"/>
          </w:tcPr>
          <w:p w14:paraId="060B8B71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联机网络</w:t>
            </w:r>
          </w:p>
        </w:tc>
      </w:tr>
      <w:tr w14:paraId="1305A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6" w:type="dxa"/>
            <w:vAlign w:val="center"/>
          </w:tcPr>
          <w:p w14:paraId="73074BF4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载体</w:t>
            </w:r>
            <w:r>
              <w:rPr>
                <w:rFonts w:cs="Times New Roman" w:asciiTheme="minorEastAsia" w:hAnsiTheme="minorEastAsia"/>
                <w:sz w:val="21"/>
              </w:rPr>
              <w:t>类型标识代码</w:t>
            </w:r>
          </w:p>
        </w:tc>
        <w:tc>
          <w:tcPr>
            <w:tcW w:w="1399" w:type="dxa"/>
            <w:vAlign w:val="center"/>
          </w:tcPr>
          <w:p w14:paraId="5ECF84B4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MT</w:t>
            </w:r>
          </w:p>
        </w:tc>
        <w:tc>
          <w:tcPr>
            <w:tcW w:w="1687" w:type="dxa"/>
            <w:vAlign w:val="center"/>
          </w:tcPr>
          <w:p w14:paraId="1679A690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DK</w:t>
            </w:r>
          </w:p>
        </w:tc>
        <w:tc>
          <w:tcPr>
            <w:tcW w:w="1687" w:type="dxa"/>
            <w:vAlign w:val="center"/>
          </w:tcPr>
          <w:p w14:paraId="610BC020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CD</w:t>
            </w:r>
          </w:p>
        </w:tc>
        <w:tc>
          <w:tcPr>
            <w:tcW w:w="1518" w:type="dxa"/>
            <w:vAlign w:val="center"/>
          </w:tcPr>
          <w:p w14:paraId="6F981EC7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OL</w:t>
            </w:r>
          </w:p>
        </w:tc>
      </w:tr>
    </w:tbl>
    <w:p w14:paraId="2B62B4C1">
      <w:pPr>
        <w:pStyle w:val="13"/>
        <w:jc w:val="center"/>
        <w:rPr>
          <w:rFonts w:cs="Times New Roman" w:asciiTheme="minorEastAsia" w:hAnsiTheme="minorEastAsia"/>
          <w:sz w:val="32"/>
          <w:szCs w:val="32"/>
        </w:rPr>
      </w:pPr>
    </w:p>
    <w:p w14:paraId="10C4F56A">
      <w:pPr>
        <w:snapToGrid w:val="0"/>
        <w:rPr>
          <w:rFonts w:ascii="宋体" w:hAnsi="宋体"/>
          <w:b/>
          <w:sz w:val="32"/>
          <w:szCs w:val="32"/>
          <w:lang w:val="en-GB"/>
        </w:rPr>
      </w:pPr>
      <w:r>
        <w:rPr>
          <w:rFonts w:hint="eastAsia" w:ascii="宋体" w:hAnsi="宋体"/>
          <w:b/>
          <w:sz w:val="32"/>
          <w:szCs w:val="32"/>
          <w:lang w:val="en-GB"/>
        </w:rPr>
        <w:t>参考文献的编排格式及示例如下：</w:t>
      </w:r>
    </w:p>
    <w:p w14:paraId="4B1163B2">
      <w:pPr>
        <w:pStyle w:val="13"/>
        <w:spacing w:after="0" w:line="500" w:lineRule="exact"/>
        <w:ind w:firstLine="602" w:firstLineChars="200"/>
        <w:jc w:val="both"/>
        <w:rPr>
          <w:rFonts w:ascii="黑体" w:hAnsi="黑体" w:eastAsia="黑体" w:cs="Times New Roman"/>
          <w:b/>
          <w:sz w:val="30"/>
          <w:szCs w:val="30"/>
        </w:rPr>
      </w:pPr>
      <w:r>
        <w:rPr>
          <w:rFonts w:ascii="黑体" w:hAnsi="黑体" w:eastAsia="黑体"/>
          <w:b/>
          <w:sz w:val="30"/>
          <w:szCs w:val="30"/>
          <w:lang w:val="en-GB"/>
        </w:rPr>
        <w:t>1.</w:t>
      </w:r>
      <w:r>
        <w:rPr>
          <w:rFonts w:hint="eastAsia" w:ascii="黑体" w:hAnsi="黑体" w:eastAsia="黑体"/>
          <w:b/>
          <w:sz w:val="30"/>
          <w:szCs w:val="30"/>
          <w:lang w:val="en-GB"/>
        </w:rPr>
        <w:t>中文文献</w:t>
      </w:r>
    </w:p>
    <w:p w14:paraId="06FDEA11">
      <w:pPr>
        <w:pStyle w:val="13"/>
        <w:spacing w:after="0" w:line="500" w:lineRule="exact"/>
        <w:ind w:firstLine="560" w:firstLineChars="200"/>
        <w:jc w:val="both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a. 普通图书</w:t>
      </w:r>
      <w:r>
        <w:rPr>
          <w:rFonts w:hint="eastAsia" w:ascii="Times New Roman" w:hAnsi="Times New Roman" w:cs="Times New Roman"/>
          <w:sz w:val="28"/>
          <w:szCs w:val="28"/>
        </w:rPr>
        <w:t>(包括专著、教材等)、会议论文集、资料汇编、学位论文、报告(包括科研报告、技术报告、调查报告、考察报告等)、参考工具书(包括手册、百科全书、字典、图集等)</w:t>
      </w:r>
      <w:r>
        <w:rPr>
          <w:rFonts w:hint="eastAsia" w:ascii="Times New Roman" w:hAnsi="Times New Roman" w:cs="Times New Roman"/>
          <w:sz w:val="28"/>
          <w:szCs w:val="28"/>
        </w:rPr>
        <w:cr/>
      </w: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[序号] 主要责任者.文献题名：其他题名信息[文献类型标识/文献载体标识]. 其他责任者(任选).版本项(任选).出版地:出版者,出版年:引文页码.</w:t>
      </w:r>
    </w:p>
    <w:p w14:paraId="66DD67DA">
      <w:pPr>
        <w:pStyle w:val="13"/>
        <w:spacing w:after="0" w:line="500" w:lineRule="exact"/>
        <w:jc w:val="both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="Times New Roman" w:hAnsi="Times New Roman" w:eastAsia="楷体_GB2312" w:cs="Times New Roman"/>
          <w:sz w:val="24"/>
          <w:szCs w:val="24"/>
        </w:rPr>
        <w:t xml:space="preserve">[1] 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陈登原.国史旧闻：第一卷[M].北京:中华书局,2000:29. </w:t>
      </w:r>
    </w:p>
    <w:p w14:paraId="1D026A1F">
      <w:pPr>
        <w:pStyle w:val="13"/>
        <w:spacing w:after="0" w:line="500" w:lineRule="exact"/>
        <w:jc w:val="both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="Times New Roman" w:hAnsi="Times New Roman" w:eastAsia="楷体_GB2312" w:cs="Times New Roman"/>
          <w:sz w:val="24"/>
          <w:szCs w:val="24"/>
        </w:rPr>
        <w:t xml:space="preserve">[2] </w:t>
      </w:r>
      <w:r>
        <w:rPr>
          <w:rFonts w:hint="eastAsia" w:cs="Times New Roman" w:asciiTheme="minorEastAsia" w:hAnsiTheme="minorEastAsia"/>
          <w:sz w:val="24"/>
          <w:szCs w:val="24"/>
        </w:rPr>
        <w:t>昂温 G,昂温 P S.外国出版史[M].陈生铮，译.北京:中国书籍出版社,1988:25-29.</w:t>
      </w:r>
    </w:p>
    <w:p w14:paraId="656F983F">
      <w:pPr>
        <w:pStyle w:val="13"/>
        <w:spacing w:after="0" w:line="500" w:lineRule="exact"/>
        <w:jc w:val="both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="Times New Roman" w:hAnsi="Times New Roman" w:eastAsia="楷体_GB2312" w:cs="Times New Roman"/>
          <w:sz w:val="24"/>
          <w:szCs w:val="24"/>
        </w:rPr>
        <w:t>[3]</w:t>
      </w:r>
      <w:r>
        <w:rPr>
          <w:rFonts w:hint="eastAsia" w:cs="Times New Roman" w:asciiTheme="minorEastAsia" w:hAnsiTheme="minorEastAsia"/>
          <w:sz w:val="24"/>
          <w:szCs w:val="24"/>
        </w:rPr>
        <w:t>辛希孟.信息技术与信息服务国际研讨会论文集:A集[C].北京:中国社会科学出版社,1994:18-33.</w:t>
      </w:r>
    </w:p>
    <w:p w14:paraId="5470F422">
      <w:pPr>
        <w:pStyle w:val="13"/>
        <w:spacing w:after="0" w:line="500" w:lineRule="exact"/>
        <w:ind w:firstLine="560" w:firstLineChars="200"/>
        <w:jc w:val="both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b. 期刊文章</w:t>
      </w:r>
    </w:p>
    <w:p w14:paraId="08CA623E">
      <w:pPr>
        <w:pStyle w:val="13"/>
        <w:spacing w:after="0" w:line="500" w:lineRule="exact"/>
        <w:jc w:val="both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[序号] 主要责任者.文献题名[J].刊名,年,卷(期):起止页码.</w:t>
      </w:r>
    </w:p>
    <w:p w14:paraId="0DC4D901">
      <w:pPr>
        <w:pStyle w:val="13"/>
        <w:spacing w:after="0" w:line="500" w:lineRule="exact"/>
        <w:jc w:val="both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[</w:t>
      </w:r>
      <w:r>
        <w:rPr>
          <w:rFonts w:cs="Times New Roman" w:asciiTheme="minorEastAsia" w:hAnsiTheme="minorEastAsia"/>
          <w:sz w:val="24"/>
          <w:szCs w:val="24"/>
        </w:rPr>
        <w:t>4</w:t>
      </w:r>
      <w:r>
        <w:rPr>
          <w:rFonts w:hint="eastAsia" w:cs="Times New Roman" w:asciiTheme="minorEastAsia" w:hAnsiTheme="minorEastAsia"/>
          <w:sz w:val="24"/>
          <w:szCs w:val="24"/>
        </w:rPr>
        <w:t>] 金显贺,王昌长,王忠东,等.一种用于在线检测局部放电的数字滤波技术[J].清华大学学报:自然科学版,1993,33(4):62-67.</w:t>
      </w:r>
    </w:p>
    <w:p w14:paraId="635A5C3F">
      <w:pPr>
        <w:pStyle w:val="13"/>
        <w:spacing w:after="0" w:line="500" w:lineRule="exact"/>
        <w:jc w:val="both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[</w:t>
      </w:r>
      <w:r>
        <w:rPr>
          <w:rFonts w:cs="Times New Roman" w:asciiTheme="minorEastAsia" w:hAnsiTheme="minorEastAsia"/>
          <w:sz w:val="24"/>
          <w:szCs w:val="24"/>
        </w:rPr>
        <w:t>5</w:t>
      </w:r>
      <w:r>
        <w:rPr>
          <w:rFonts w:hint="eastAsia" w:cs="Times New Roman" w:asciiTheme="minorEastAsia" w:hAnsiTheme="minorEastAsia"/>
          <w:sz w:val="24"/>
          <w:szCs w:val="24"/>
        </w:rPr>
        <w:t>] 何龄修.读顾城《南明史》[J].中国史研究,1998(3):167-173.</w:t>
      </w:r>
    </w:p>
    <w:p w14:paraId="7D01385F">
      <w:pPr>
        <w:pStyle w:val="13"/>
        <w:spacing w:after="0" w:line="500" w:lineRule="exact"/>
        <w:ind w:firstLine="560" w:firstLineChars="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c.报纸文章</w:t>
      </w:r>
    </w:p>
    <w:p w14:paraId="3FE97795">
      <w:pPr>
        <w:pStyle w:val="13"/>
        <w:spacing w:after="0" w:line="500" w:lineRule="exact"/>
        <w:jc w:val="both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[序号] 主要责任者.文献题名[N].报纸名,出版日期(版次).</w:t>
      </w:r>
    </w:p>
    <w:p w14:paraId="63C8182C">
      <w:pPr>
        <w:pStyle w:val="13"/>
        <w:spacing w:after="0" w:line="500" w:lineRule="exact"/>
        <w:jc w:val="both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cs="Times New Roman" w:asciiTheme="minorEastAsia" w:hAnsiTheme="minorEastAsia"/>
          <w:sz w:val="24"/>
          <w:szCs w:val="24"/>
        </w:rPr>
        <w:t>[6] 谢希德.创造学习的新思路[N].人民日报</w:t>
      </w:r>
      <w:r>
        <w:rPr>
          <w:rFonts w:cs="Times New Roman" w:asciiTheme="minorEastAsia" w:hAnsiTheme="minorEastAsia"/>
          <w:sz w:val="24"/>
          <w:szCs w:val="24"/>
        </w:rPr>
        <w:t>,</w:t>
      </w:r>
      <w:r>
        <w:rPr>
          <w:rFonts w:hint="eastAsia" w:cs="Times New Roman" w:asciiTheme="minorEastAsia" w:hAnsiTheme="minorEastAsia"/>
          <w:sz w:val="24"/>
          <w:szCs w:val="24"/>
        </w:rPr>
        <w:t>1998-12-25(10).</w:t>
      </w:r>
    </w:p>
    <w:p w14:paraId="7BF18252">
      <w:pPr>
        <w:pStyle w:val="13"/>
        <w:spacing w:after="0" w:line="500" w:lineRule="exact"/>
        <w:ind w:firstLine="560" w:firstLineChars="200"/>
        <w:jc w:val="both"/>
        <w:rPr>
          <w:rFonts w:cs="Times New Roman" w:asciiTheme="minorEastAsia" w:hAnsiTheme="minorEastAsia"/>
          <w:sz w:val="28"/>
          <w:szCs w:val="28"/>
        </w:rPr>
      </w:pPr>
      <w:r>
        <w:rPr>
          <w:rFonts w:ascii="黑体" w:hAnsi="黑体" w:eastAsia="黑体" w:cs="Times New Roman"/>
          <w:sz w:val="28"/>
          <w:szCs w:val="28"/>
        </w:rPr>
        <w:t>d.标准</w:t>
      </w:r>
      <w:r>
        <w:rPr>
          <w:rFonts w:cs="Times New Roman" w:asciiTheme="minorEastAsia" w:hAnsiTheme="minorEastAsia"/>
          <w:sz w:val="28"/>
          <w:szCs w:val="28"/>
        </w:rPr>
        <w:t>(包括国际标准、国家标准、规范、法规等)</w:t>
      </w:r>
    </w:p>
    <w:p w14:paraId="0D19C4EC">
      <w:pPr>
        <w:spacing w:after="0" w:line="500" w:lineRule="exact"/>
        <w:jc w:val="both"/>
        <w:rPr>
          <w:rFonts w:eastAsia="黑体"/>
          <w:b/>
          <w:bCs/>
          <w:sz w:val="28"/>
          <w:szCs w:val="28"/>
        </w:rPr>
      </w:pPr>
      <w:r>
        <w:rPr>
          <w:rFonts w:hint="eastAsia" w:eastAsia="黑体"/>
          <w:b/>
          <w:bCs/>
          <w:sz w:val="28"/>
          <w:szCs w:val="28"/>
        </w:rPr>
        <w:t>[序号] 主要责任者.文献题名：其他题名信息[文献类型标识/文献载体标识]. 其他责任者.版本项.出版地:出版者,出版年:引文页码.</w:t>
      </w:r>
    </w:p>
    <w:p w14:paraId="430399BE">
      <w:pPr>
        <w:pStyle w:val="13"/>
        <w:spacing w:after="0" w:line="500" w:lineRule="exact"/>
        <w:jc w:val="both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[7] 全国信息与文献标准化技术委员会.信息与文献 都柏林核心元数据元素集:GB/T 25100-2010[S].北京：中国标准出版社,2010:2-3.</w:t>
      </w:r>
    </w:p>
    <w:p w14:paraId="1281BD34">
      <w:pPr>
        <w:pStyle w:val="13"/>
        <w:spacing w:after="0" w:line="500" w:lineRule="exact"/>
        <w:ind w:firstLine="560" w:firstLineChars="200"/>
        <w:jc w:val="both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e.专利</w:t>
      </w:r>
    </w:p>
    <w:p w14:paraId="4BA9BD55">
      <w:pPr>
        <w:pStyle w:val="13"/>
        <w:spacing w:after="0" w:line="500" w:lineRule="exact"/>
        <w:jc w:val="both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[序号] 专利申请者或所有者.专利题名:专利编号[文献类型标识/文献载体标识].公告日期或公布日期[引用日期].</w:t>
      </w:r>
    </w:p>
    <w:p w14:paraId="4CBB54E0">
      <w:pPr>
        <w:pStyle w:val="13"/>
        <w:spacing w:after="0" w:line="500" w:lineRule="exact"/>
        <w:jc w:val="both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[8]姜锡洲.一种温热外敷药制备方案:88105607.3[P].1989-07-26.</w:t>
      </w:r>
    </w:p>
    <w:p w14:paraId="45B1CF4C">
      <w:pPr>
        <w:pStyle w:val="13"/>
        <w:spacing w:after="0" w:line="500" w:lineRule="exact"/>
        <w:jc w:val="both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[9]西安电子科技大学.光折变自适应光外差探测方法:01128777.2[P/OL].（2002-03-06） [2002-05-28].</w:t>
      </w:r>
    </w:p>
    <w:p w14:paraId="1433BE8E">
      <w:pPr>
        <w:pStyle w:val="13"/>
        <w:spacing w:after="0" w:line="500" w:lineRule="exact"/>
        <w:ind w:firstLine="560" w:firstLineChars="200"/>
        <w:jc w:val="both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f.档案</w:t>
      </w:r>
    </w:p>
    <w:p w14:paraId="75719610">
      <w:pPr>
        <w:pStyle w:val="13"/>
        <w:spacing w:after="0" w:line="500" w:lineRule="exact"/>
        <w:jc w:val="both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[序号] 主要责任者.文献题名:原件日期[文献类型标识/文献载体标识].收藏地:收藏单位(收藏编号)：起止页码.</w:t>
      </w:r>
    </w:p>
    <w:p w14:paraId="4B818E66">
      <w:pPr>
        <w:pStyle w:val="13"/>
        <w:spacing w:after="0" w:line="500" w:lineRule="exact"/>
        <w:jc w:val="both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[</w:t>
      </w:r>
      <w:r>
        <w:rPr>
          <w:rFonts w:cs="Times New Roman" w:asciiTheme="minorEastAsia" w:hAnsiTheme="minorEastAsia"/>
          <w:sz w:val="24"/>
          <w:szCs w:val="24"/>
        </w:rPr>
        <w:t>1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0] 国家档案馆.国务院外国专家局的报告:1958-12-11[A].呼和浩特:内蒙古自治区档案馆(全宗252,目录1,卷宗57):65-67. </w:t>
      </w:r>
    </w:p>
    <w:p w14:paraId="4A3F6697">
      <w:pPr>
        <w:pStyle w:val="13"/>
        <w:spacing w:after="0" w:line="500" w:lineRule="exact"/>
        <w:ind w:firstLine="560" w:firstLineChars="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g.古籍</w:t>
      </w:r>
      <w:r>
        <w:rPr>
          <w:rFonts w:hint="eastAsia" w:ascii="Times New Roman" w:hAnsi="Times New Roman" w:cs="Times New Roman"/>
          <w:sz w:val="28"/>
          <w:szCs w:val="28"/>
        </w:rPr>
        <w:t>(1911年以前出版、无现代版本但有据可查的善本)</w:t>
      </w:r>
    </w:p>
    <w:p w14:paraId="2EFB6E61">
      <w:pPr>
        <w:pStyle w:val="13"/>
        <w:spacing w:after="0" w:line="500" w:lineRule="exact"/>
        <w:jc w:val="both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[序号] 主要责任者.文献题名[O].其他责任者(包括校、勘、注、批等)刊行年代(古历纪年)及刊物机构(版本).收藏机构(任选).</w:t>
      </w:r>
    </w:p>
    <w:p w14:paraId="24262917">
      <w:pPr>
        <w:pStyle w:val="13"/>
        <w:spacing w:after="0" w:line="500" w:lineRule="exact"/>
        <w:jc w:val="both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[11] 沈括.梦溪笔谈[</w:t>
      </w:r>
      <w:r>
        <w:rPr>
          <w:rFonts w:cs="Times New Roman" w:asciiTheme="minorEastAsia" w:hAnsiTheme="minorEastAsia"/>
          <w:sz w:val="24"/>
          <w:szCs w:val="24"/>
        </w:rPr>
        <w:t>O</w:t>
      </w:r>
      <w:r>
        <w:rPr>
          <w:rFonts w:hint="eastAsia" w:cs="Times New Roman" w:asciiTheme="minorEastAsia" w:hAnsiTheme="minorEastAsia"/>
          <w:sz w:val="24"/>
          <w:szCs w:val="24"/>
        </w:rPr>
        <w:t>].元大德九年茶陵刊本.北京图书馆珍藏.</w:t>
      </w:r>
      <w:r>
        <w:rPr>
          <w:rFonts w:hint="eastAsia" w:cs="Times New Roman" w:asciiTheme="minorEastAsia" w:hAnsiTheme="minorEastAsia"/>
          <w:sz w:val="24"/>
          <w:szCs w:val="24"/>
        </w:rPr>
        <w:cr/>
      </w:r>
      <w:r>
        <w:rPr>
          <w:rFonts w:hint="eastAsia" w:cs="Times New Roman" w:asciiTheme="minorEastAsia" w:hAnsiTheme="minorEastAsia"/>
          <w:sz w:val="24"/>
          <w:szCs w:val="24"/>
        </w:rPr>
        <w:t>[12] 纪昀.纪文达公遗集:卷十六[</w:t>
      </w:r>
      <w:r>
        <w:rPr>
          <w:rFonts w:cs="Times New Roman" w:asciiTheme="minorEastAsia" w:hAnsiTheme="minorEastAsia"/>
          <w:sz w:val="24"/>
          <w:szCs w:val="24"/>
        </w:rPr>
        <w:t>O</w:t>
      </w:r>
      <w:r>
        <w:rPr>
          <w:rFonts w:hint="eastAsia" w:cs="Times New Roman" w:asciiTheme="minorEastAsia" w:hAnsiTheme="minorEastAsia"/>
          <w:sz w:val="24"/>
          <w:szCs w:val="24"/>
        </w:rPr>
        <w:t>].清嘉庆年间刻本.</w:t>
      </w:r>
    </w:p>
    <w:p w14:paraId="22916186">
      <w:pPr>
        <w:pStyle w:val="13"/>
        <w:spacing w:after="0" w:line="500" w:lineRule="exact"/>
        <w:jc w:val="both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[13] 李复言.续幽怪录[</w:t>
      </w:r>
      <w:r>
        <w:rPr>
          <w:rFonts w:cs="Times New Roman" w:asciiTheme="minorEastAsia" w:hAnsiTheme="minorEastAsia"/>
          <w:sz w:val="24"/>
          <w:szCs w:val="24"/>
        </w:rPr>
        <w:t>O</w:t>
      </w:r>
      <w:r>
        <w:rPr>
          <w:rFonts w:hint="eastAsia" w:cs="Times New Roman" w:asciiTheme="minorEastAsia" w:hAnsiTheme="minorEastAsia"/>
          <w:sz w:val="24"/>
          <w:szCs w:val="24"/>
        </w:rPr>
        <w:t>].明抄说集本.朱文钧藏.</w:t>
      </w:r>
    </w:p>
    <w:p w14:paraId="0DB67D75">
      <w:pPr>
        <w:pStyle w:val="13"/>
        <w:spacing w:after="0" w:line="500" w:lineRule="exact"/>
        <w:ind w:firstLine="560" w:firstLineChars="200"/>
        <w:jc w:val="both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h.各种未定义类型的文献</w:t>
      </w:r>
    </w:p>
    <w:p w14:paraId="3A954370">
      <w:pPr>
        <w:pStyle w:val="13"/>
        <w:spacing w:after="0" w:line="500" w:lineRule="exact"/>
        <w:jc w:val="both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[序号] 主要责任者.文献题名[Z].出版地:出版者,出版年.</w:t>
      </w:r>
    </w:p>
    <w:p w14:paraId="4E2C1101">
      <w:pPr>
        <w:pStyle w:val="13"/>
        <w:spacing w:after="0" w:line="500" w:lineRule="exact"/>
        <w:jc w:val="both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[14]张永禄.唐代长安词典[Z].西安：陕西人民出版社,1980.</w:t>
      </w:r>
    </w:p>
    <w:p w14:paraId="486835A0">
      <w:pPr>
        <w:pStyle w:val="13"/>
        <w:spacing w:after="0" w:line="500" w:lineRule="exact"/>
        <w:ind w:firstLine="560" w:firstLineChars="200"/>
        <w:jc w:val="both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i.电子文献</w:t>
      </w:r>
    </w:p>
    <w:p w14:paraId="7E50B9F1">
      <w:pPr>
        <w:pStyle w:val="13"/>
        <w:spacing w:after="0" w:line="500" w:lineRule="exact"/>
        <w:jc w:val="both"/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[序号] 主要责任者.文献题名：其他题名信息[文献类型标识/文献载体标识].(发表或更新日期)[引用日期].电子文献的出版或可获得地址.</w:t>
      </w:r>
    </w:p>
    <w:p w14:paraId="7A070C2D">
      <w:pPr>
        <w:pStyle w:val="13"/>
        <w:spacing w:after="0" w:line="500" w:lineRule="exact"/>
        <w:jc w:val="both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[15]萧钰.出版业信息化迈入快车道[EB/OL].(2001-12-19)[2002-04-15].http://www.creadercom/news/ 20011219/ 2001121 90019.html.</w:t>
      </w:r>
    </w:p>
    <w:p w14:paraId="6FDA1588">
      <w:pPr>
        <w:pStyle w:val="13"/>
        <w:spacing w:after="0" w:line="500" w:lineRule="exact"/>
        <w:ind w:firstLine="602" w:firstLineChars="200"/>
        <w:jc w:val="both"/>
        <w:rPr>
          <w:rFonts w:ascii="黑体" w:hAnsi="黑体" w:eastAsia="黑体"/>
          <w:b/>
          <w:sz w:val="30"/>
          <w:szCs w:val="30"/>
          <w:lang w:val="en-GB"/>
        </w:rPr>
      </w:pPr>
      <w:r>
        <w:rPr>
          <w:rFonts w:hint="eastAsia" w:ascii="黑体" w:hAnsi="黑体" w:eastAsia="黑体"/>
          <w:b/>
          <w:sz w:val="30"/>
          <w:szCs w:val="30"/>
          <w:lang w:val="en-GB"/>
        </w:rPr>
        <w:t>2.外文文献</w:t>
      </w:r>
    </w:p>
    <w:p w14:paraId="5E906FAA">
      <w:pPr>
        <w:pStyle w:val="13"/>
        <w:spacing w:after="0" w:line="500" w:lineRule="exact"/>
        <w:ind w:firstLine="560" w:firstLineChars="200"/>
        <w:jc w:val="both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="Times New Roman" w:hAnsi="Times New Roman" w:cs="Times New Roman"/>
          <w:sz w:val="28"/>
          <w:szCs w:val="28"/>
        </w:rPr>
        <w:t>各类外文文献的文后参考文献格式与中文示例相同；为了计算机检索方便，建议题名的首字母及各个实词的首字母大写，期刊的刊名等可用全称或按ISO 4规定的缩写格式。例：</w:t>
      </w:r>
      <w:r>
        <w:rPr>
          <w:rFonts w:hint="eastAsia" w:ascii="Times New Roman" w:hAnsi="Times New Roman" w:cs="Times New Roman"/>
          <w:sz w:val="28"/>
          <w:szCs w:val="28"/>
        </w:rPr>
        <w:cr/>
      </w:r>
      <w:r>
        <w:rPr>
          <w:rFonts w:hint="eastAsia" w:ascii="Times New Roman" w:hAnsi="Times New Roman" w:eastAsia="楷体_GB2312" w:cs="Times New Roman"/>
          <w:sz w:val="24"/>
          <w:szCs w:val="24"/>
        </w:rPr>
        <w:t>[16] JONES R M.Mechanics of Composite Materials[M].New York:McGraw Hill Book Company,1975:105-107.</w:t>
      </w:r>
    </w:p>
    <w:p w14:paraId="53A6A3B8">
      <w:pPr>
        <w:pStyle w:val="13"/>
        <w:spacing w:after="0" w:line="500" w:lineRule="exact"/>
        <w:jc w:val="both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[17] 加古舜治.园芸植物の器官と组织の培养[M].东京:诚文堂新光社,1978(昭和53年)：237-239.</w:t>
      </w:r>
    </w:p>
    <w:p w14:paraId="55F9C01F">
      <w:pPr>
        <w:pStyle w:val="13"/>
        <w:spacing w:after="0" w:line="5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4"/>
          <w:szCs w:val="24"/>
        </w:rPr>
        <w:t>[18] HOPKINSON A.UNIMARC and Metadata: Dublin Core [EB/OL].(1999-06-07)[1999-12-08]. http://www.ifla.org/IV/ifla64/138-74f.htm.</w:t>
      </w:r>
      <w:r>
        <w:rPr>
          <w:rFonts w:hint="eastAsia" w:ascii="Times New Roman" w:hAnsi="Times New Roman" w:cs="Times New Roman"/>
          <w:sz w:val="28"/>
          <w:szCs w:val="28"/>
        </w:rPr>
        <w:t></w:t>
      </w:r>
    </w:p>
    <w:p w14:paraId="7BDEF353">
      <w:pPr>
        <w:pStyle w:val="18"/>
        <w:spacing w:after="0" w:line="500" w:lineRule="exact"/>
        <w:jc w:val="both"/>
      </w:pPr>
      <w:r>
        <w:rPr>
          <w:rFonts w:hint="eastAsia" w:hAnsi="宋体" w:eastAsia="宋体" w:cs="宋体"/>
          <w:szCs w:val="28"/>
        </w:rPr>
        <w:t>其他未尽事宜请参考国家标准《信息与文献参考文献著录规则》</w:t>
      </w:r>
      <w:r>
        <w:rPr>
          <w:rFonts w:hint="eastAsia"/>
        </w:rPr>
        <w:t>（GB/T 7714—2015）。</w:t>
      </w:r>
    </w:p>
    <w:p w14:paraId="20E84F54">
      <w:pPr>
        <w:ind w:firstLine="643" w:firstLineChars="200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（八）附录（如无可省略）</w:t>
      </w:r>
    </w:p>
    <w:p w14:paraId="3C804C79">
      <w:pPr>
        <w:pStyle w:val="18"/>
        <w:spacing w:after="0" w:line="500" w:lineRule="exact"/>
        <w:jc w:val="both"/>
      </w:pPr>
      <w:r>
        <w:rPr>
          <w:rFonts w:hint="eastAsia"/>
        </w:rPr>
        <w:t>附录在这里是指附在正文后面与正文有关的参考资料，包括调查问卷表、小组访谈的提纲、实验数据等资料。“附录”两字采用黑体三号加粗。其相关资料以附录形式出现，如附录一、附录二等。附录需另面排，附录正文建议用小四号宋体。附录的页码接续参考文献的页码。</w:t>
      </w:r>
    </w:p>
    <w:p w14:paraId="48C439A8">
      <w:pPr>
        <w:ind w:firstLine="643" w:firstLineChars="200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（九）致谢</w:t>
      </w:r>
    </w:p>
    <w:p w14:paraId="30F7B63D">
      <w:pPr>
        <w:pStyle w:val="18"/>
        <w:spacing w:after="0" w:line="500" w:lineRule="exact"/>
        <w:jc w:val="both"/>
      </w:pPr>
      <w:r>
        <w:rPr>
          <w:rFonts w:hint="eastAsia"/>
        </w:rPr>
        <w:t>致谢主要是简述毕业论文作者完成论文的体会，并对其指导教师以及协助完成论文的</w:t>
      </w:r>
      <w:r>
        <w:t>相</w:t>
      </w:r>
      <w:r>
        <w:rPr>
          <w:rFonts w:hint="eastAsia"/>
        </w:rPr>
        <w:t>关人员表示谢意。“致谢”两字采用黑体三号加粗。致谢的正文建议用小四号宋体。致谢页不排页眉，不编页码，不署名，不标注日期。</w:t>
      </w:r>
    </w:p>
    <w:p w14:paraId="662F0BA9">
      <w:pPr>
        <w:pStyle w:val="18"/>
        <w:spacing w:after="0" w:line="500" w:lineRule="exact"/>
        <w:jc w:val="both"/>
      </w:pPr>
    </w:p>
    <w:p w14:paraId="34F1A112">
      <w:pPr>
        <w:tabs>
          <w:tab w:val="left" w:pos="540"/>
        </w:tabs>
        <w:ind w:left="-2" w:leftChars="-1" w:firstLine="643" w:firstLineChars="200"/>
        <w:rPr>
          <w:rFonts w:ascii="黑体" w:hAnsi="黑体" w:eastAsia="黑体" w:cs="黑体"/>
          <w:b/>
          <w:bCs/>
          <w:sz w:val="32"/>
          <w:szCs w:val="32"/>
          <w:lang w:val="en-GB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GB"/>
        </w:rPr>
        <w:t>三、打印装订要求</w:t>
      </w:r>
    </w:p>
    <w:p w14:paraId="314697DE">
      <w:pPr>
        <w:ind w:firstLine="643" w:firstLineChars="200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（一）打印</w:t>
      </w:r>
    </w:p>
    <w:p w14:paraId="727487DA">
      <w:pPr>
        <w:tabs>
          <w:tab w:val="left" w:pos="540"/>
        </w:tabs>
        <w:spacing w:after="0" w:line="500" w:lineRule="exact"/>
        <w:ind w:left="-2" w:leftChars="-1" w:firstLine="560" w:firstLineChars="200"/>
        <w:jc w:val="both"/>
        <w:rPr>
          <w:sz w:val="28"/>
          <w:szCs w:val="24"/>
          <w:lang w:val="en-GB"/>
        </w:rPr>
      </w:pPr>
      <w:r>
        <w:rPr>
          <w:rFonts w:hint="eastAsia"/>
          <w:sz w:val="28"/>
          <w:szCs w:val="24"/>
          <w:lang w:val="en-GB"/>
        </w:rPr>
        <w:t>毕业论文采用国际标准A4型（210mm</w:t>
      </w:r>
      <w:r>
        <w:rPr>
          <w:rFonts w:hint="eastAsia" w:asciiTheme="minorEastAsia" w:hAnsiTheme="minorEastAsia"/>
          <w:sz w:val="28"/>
          <w:szCs w:val="24"/>
          <w:lang w:val="en-GB"/>
        </w:rPr>
        <w:t>×</w:t>
      </w:r>
      <w:r>
        <w:rPr>
          <w:rFonts w:hint="eastAsia"/>
          <w:sz w:val="28"/>
          <w:szCs w:val="24"/>
          <w:lang w:val="en-GB"/>
        </w:rPr>
        <w:t>297mm）打印纸或复印纸印制。毕业论文要求纵向打印，页边距的要求为：上（T）：2.54cm；下（B）：2.54cm；左（L）：3cm；右（R）：2.2cm。页脚需要设置页码。页码采用五号黑体，加粗居中放置，格式为：“</w:t>
      </w:r>
      <w:r>
        <w:rPr>
          <w:rFonts w:hint="eastAsia" w:ascii="黑体" w:hAnsi="黑体" w:eastAsia="黑体"/>
          <w:b/>
          <w:sz w:val="21"/>
          <w:szCs w:val="21"/>
          <w:lang w:val="en-GB"/>
        </w:rPr>
        <w:t>第1页</w:t>
      </w:r>
      <w:r>
        <w:rPr>
          <w:rFonts w:ascii="黑体" w:hAnsi="黑体" w:eastAsia="黑体"/>
          <w:sz w:val="21"/>
          <w:szCs w:val="21"/>
          <w:lang w:val="en-GB"/>
        </w:rPr>
        <w:t>”</w:t>
      </w:r>
      <w:r>
        <w:rPr>
          <w:rFonts w:hint="eastAsia"/>
          <w:sz w:val="28"/>
          <w:szCs w:val="24"/>
          <w:lang w:val="en-GB"/>
        </w:rPr>
        <w:t>。页码从正文（含注释、参考文献和附录）页开始标注。毕业</w:t>
      </w:r>
      <w:r>
        <w:rPr>
          <w:sz w:val="28"/>
          <w:szCs w:val="24"/>
          <w:lang w:val="en-GB"/>
        </w:rPr>
        <w:t>论文正文部分需双面打印，其他部分单面打印。</w:t>
      </w:r>
    </w:p>
    <w:p w14:paraId="754021DE">
      <w:pPr>
        <w:ind w:firstLine="643" w:firstLineChars="200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（二）装订</w:t>
      </w:r>
    </w:p>
    <w:p w14:paraId="3EEAE886">
      <w:pPr>
        <w:tabs>
          <w:tab w:val="left" w:pos="540"/>
        </w:tabs>
        <w:spacing w:after="0" w:line="500" w:lineRule="exact"/>
        <w:ind w:left="-2" w:leftChars="-1" w:firstLine="560" w:firstLineChars="200"/>
        <w:jc w:val="both"/>
        <w:rPr>
          <w:sz w:val="28"/>
          <w:szCs w:val="24"/>
          <w:lang w:val="en-GB"/>
        </w:rPr>
      </w:pPr>
      <w:r>
        <w:rPr>
          <w:rFonts w:hint="eastAsia"/>
          <w:sz w:val="28"/>
          <w:szCs w:val="24"/>
          <w:lang w:val="en-GB"/>
        </w:rPr>
        <w:t>1．毕业论文装订按以下顺序进行：封面、成绩评定表、中文摘要（含中文关键词）、英文摘要（含英文关键词）、目录、正文、参考文献、附录、致谢。</w:t>
      </w:r>
    </w:p>
    <w:p w14:paraId="77746EC6">
      <w:pPr>
        <w:tabs>
          <w:tab w:val="left" w:pos="540"/>
        </w:tabs>
        <w:spacing w:after="0" w:line="500" w:lineRule="exact"/>
        <w:ind w:left="-2" w:leftChars="-1" w:firstLine="560" w:firstLineChars="200"/>
        <w:jc w:val="both"/>
        <w:rPr>
          <w:sz w:val="28"/>
          <w:szCs w:val="24"/>
          <w:lang w:val="en-GB"/>
        </w:rPr>
      </w:pPr>
      <w:r>
        <w:rPr>
          <w:rFonts w:hint="eastAsia"/>
          <w:sz w:val="28"/>
          <w:szCs w:val="24"/>
          <w:lang w:val="en-GB"/>
        </w:rPr>
        <w:t>2．毕业论文的封面和封底用纸采用特殊A3规格180g/m</w:t>
      </w:r>
      <w:r>
        <w:rPr>
          <w:rFonts w:hint="eastAsia"/>
          <w:sz w:val="28"/>
          <w:szCs w:val="24"/>
          <w:vertAlign w:val="superscript"/>
          <w:lang w:val="en-GB"/>
        </w:rPr>
        <w:t>2</w:t>
      </w:r>
      <w:r>
        <w:rPr>
          <w:rFonts w:hint="eastAsia"/>
          <w:sz w:val="28"/>
          <w:szCs w:val="24"/>
          <w:lang w:val="en-GB"/>
        </w:rPr>
        <w:t>米黄色皮纹纸。应档案管理的要求，装订务必用胶装，不得使用订书钉等金属材料。</w:t>
      </w:r>
    </w:p>
    <w:p w14:paraId="2B0C2538">
      <w:pPr>
        <w:spacing w:after="0" w:line="500" w:lineRule="exact"/>
        <w:ind w:firstLine="560" w:firstLineChars="200"/>
        <w:jc w:val="both"/>
        <w:rPr>
          <w:sz w:val="28"/>
          <w:szCs w:val="24"/>
          <w:lang w:val="en-GB"/>
        </w:rPr>
      </w:pPr>
      <w:r>
        <w:rPr>
          <w:rFonts w:hint="eastAsia"/>
          <w:sz w:val="28"/>
          <w:szCs w:val="24"/>
          <w:lang w:val="en-GB"/>
        </w:rPr>
        <w:t>3．每位学生论文定稿，按统一要求装订1份，</w:t>
      </w:r>
      <w:r>
        <w:rPr>
          <w:sz w:val="28"/>
          <w:szCs w:val="24"/>
          <w:lang w:val="en-GB"/>
        </w:rPr>
        <w:t>被评为优秀</w:t>
      </w:r>
      <w:r>
        <w:rPr>
          <w:rFonts w:hint="eastAsia"/>
          <w:sz w:val="28"/>
          <w:szCs w:val="24"/>
          <w:lang w:val="en-GB"/>
        </w:rPr>
        <w:t>论文</w:t>
      </w:r>
      <w:r>
        <w:rPr>
          <w:sz w:val="28"/>
          <w:szCs w:val="24"/>
          <w:lang w:val="en-GB"/>
        </w:rPr>
        <w:t>的需要</w:t>
      </w:r>
      <w:r>
        <w:rPr>
          <w:rFonts w:hint="eastAsia"/>
          <w:sz w:val="28"/>
          <w:szCs w:val="24"/>
          <w:lang w:val="en-GB"/>
        </w:rPr>
        <w:t>装订2份。</w:t>
      </w:r>
    </w:p>
    <w:p w14:paraId="27404CF0">
      <w:pPr>
        <w:spacing w:after="0" w:line="500" w:lineRule="exact"/>
        <w:jc w:val="both"/>
        <w:rPr>
          <w:sz w:val="28"/>
          <w:szCs w:val="24"/>
          <w:lang w:val="en-GB"/>
        </w:rPr>
      </w:pPr>
    </w:p>
    <w:p w14:paraId="1D85C2FE">
      <w:pPr>
        <w:spacing w:line="400" w:lineRule="exact"/>
        <w:rPr>
          <w:rFonts w:ascii="宋体" w:hAnsi="宋体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本规范自20</w:t>
      </w:r>
      <w:r>
        <w:rPr>
          <w:rFonts w:hint="eastAsia" w:eastAsia="黑体"/>
          <w:b/>
          <w:sz w:val="32"/>
          <w:szCs w:val="24"/>
        </w:rPr>
        <w:t>20</w:t>
      </w:r>
      <w:r>
        <w:rPr>
          <w:rFonts w:hint="eastAsia" w:eastAsia="黑体"/>
          <w:b/>
          <w:sz w:val="32"/>
          <w:szCs w:val="24"/>
          <w:lang w:val="en-GB"/>
        </w:rPr>
        <w:t>年起执行。</w:t>
      </w:r>
    </w:p>
    <w:p w14:paraId="52A8D696">
      <w:pPr>
        <w:spacing w:line="400" w:lineRule="exact"/>
        <w:rPr>
          <w:rFonts w:ascii="宋体" w:hAnsi="宋体"/>
          <w:b/>
          <w:sz w:val="28"/>
          <w:szCs w:val="28"/>
          <w:lang w:val="en-GB"/>
        </w:rPr>
      </w:pPr>
      <w:r>
        <w:rPr>
          <w:rFonts w:hint="eastAsia" w:ascii="宋体" w:hAnsi="宋体"/>
          <w:b/>
          <w:sz w:val="28"/>
          <w:szCs w:val="28"/>
          <w:lang w:val="en-GB"/>
        </w:rPr>
        <w:t>附件：广东财经大学本科生毕业论文格式模板</w:t>
      </w:r>
    </w:p>
    <w:sectPr>
      <w:headerReference r:id="rId5" w:type="default"/>
      <w:footerReference r:id="rId6" w:type="default"/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7807547"/>
      <w:docPartObj>
        <w:docPartGallery w:val="autotext"/>
      </w:docPartObj>
    </w:sdtPr>
    <w:sdtContent>
      <w:p w14:paraId="5B738DC3">
        <w:pPr>
          <w:pStyle w:val="1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9</w:t>
        </w:r>
        <w:r>
          <w:rPr>
            <w:lang w:val="zh-CN"/>
          </w:rPr>
          <w:fldChar w:fldCharType="end"/>
        </w:r>
      </w:p>
    </w:sdtContent>
  </w:sdt>
  <w:p w14:paraId="7830249D"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272E7">
    <w:pPr>
      <w:pStyle w:val="1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E163B3"/>
    <w:multiLevelType w:val="multilevel"/>
    <w:tmpl w:val="60E163B3"/>
    <w:lvl w:ilvl="0" w:tentative="0">
      <w:start w:val="1"/>
      <w:numFmt w:val="japaneseCounting"/>
      <w:lvlText w:val="（%1）"/>
      <w:lvlJc w:val="left"/>
      <w:pPr>
        <w:ind w:left="1647" w:hanging="1080"/>
      </w:pPr>
      <w:rPr>
        <w:rFonts w:hint="default"/>
        <w:color w:val="000000" w:themeColor="text1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RlNTEyODFiNTkyYzlmMmU4MWI5NmU5Y2VhMmVjMjUifQ=="/>
    <w:docVar w:name="KSO_WPS_MARK_KEY" w:val="d211b47d-177c-4087-89f2-a2c990d060e3"/>
  </w:docVars>
  <w:rsids>
    <w:rsidRoot w:val="00605039"/>
    <w:rsid w:val="000009C1"/>
    <w:rsid w:val="00002E0D"/>
    <w:rsid w:val="00024F69"/>
    <w:rsid w:val="00041892"/>
    <w:rsid w:val="000431D8"/>
    <w:rsid w:val="00044E85"/>
    <w:rsid w:val="000476ED"/>
    <w:rsid w:val="000579B8"/>
    <w:rsid w:val="00066CCC"/>
    <w:rsid w:val="00094FC6"/>
    <w:rsid w:val="000A494A"/>
    <w:rsid w:val="000A5965"/>
    <w:rsid w:val="000A774F"/>
    <w:rsid w:val="000B1E25"/>
    <w:rsid w:val="000D6E48"/>
    <w:rsid w:val="000F4AD2"/>
    <w:rsid w:val="001105C9"/>
    <w:rsid w:val="00112841"/>
    <w:rsid w:val="001133C8"/>
    <w:rsid w:val="00121DD0"/>
    <w:rsid w:val="001312A8"/>
    <w:rsid w:val="00161247"/>
    <w:rsid w:val="00165C0B"/>
    <w:rsid w:val="0016770C"/>
    <w:rsid w:val="001814EB"/>
    <w:rsid w:val="001929BF"/>
    <w:rsid w:val="001C06C2"/>
    <w:rsid w:val="001D63FD"/>
    <w:rsid w:val="001E0569"/>
    <w:rsid w:val="001E08AB"/>
    <w:rsid w:val="001E7550"/>
    <w:rsid w:val="00201E58"/>
    <w:rsid w:val="0020256C"/>
    <w:rsid w:val="00216350"/>
    <w:rsid w:val="00232120"/>
    <w:rsid w:val="00232321"/>
    <w:rsid w:val="00253268"/>
    <w:rsid w:val="00260478"/>
    <w:rsid w:val="00267B60"/>
    <w:rsid w:val="00290C4B"/>
    <w:rsid w:val="002A0ADF"/>
    <w:rsid w:val="002A1049"/>
    <w:rsid w:val="002B018D"/>
    <w:rsid w:val="002B07E6"/>
    <w:rsid w:val="002B6E43"/>
    <w:rsid w:val="002C063B"/>
    <w:rsid w:val="002C3DF2"/>
    <w:rsid w:val="002C60DB"/>
    <w:rsid w:val="002C6C93"/>
    <w:rsid w:val="003347E2"/>
    <w:rsid w:val="003601B1"/>
    <w:rsid w:val="00377753"/>
    <w:rsid w:val="00396D8E"/>
    <w:rsid w:val="003A2D6D"/>
    <w:rsid w:val="003A69A4"/>
    <w:rsid w:val="003C64A8"/>
    <w:rsid w:val="003D71A9"/>
    <w:rsid w:val="003E0B00"/>
    <w:rsid w:val="003E5B1C"/>
    <w:rsid w:val="003F0466"/>
    <w:rsid w:val="003F6353"/>
    <w:rsid w:val="003F6AE5"/>
    <w:rsid w:val="003F73C0"/>
    <w:rsid w:val="00401BB8"/>
    <w:rsid w:val="004118C4"/>
    <w:rsid w:val="00423BFD"/>
    <w:rsid w:val="00432BFF"/>
    <w:rsid w:val="00436D9A"/>
    <w:rsid w:val="00437D21"/>
    <w:rsid w:val="004573B8"/>
    <w:rsid w:val="00464C71"/>
    <w:rsid w:val="0047640E"/>
    <w:rsid w:val="00476D7F"/>
    <w:rsid w:val="004914F2"/>
    <w:rsid w:val="00493C9D"/>
    <w:rsid w:val="004C43AA"/>
    <w:rsid w:val="004E15A8"/>
    <w:rsid w:val="004E1E96"/>
    <w:rsid w:val="004E54F3"/>
    <w:rsid w:val="004F4AC4"/>
    <w:rsid w:val="004F4D73"/>
    <w:rsid w:val="00501E0F"/>
    <w:rsid w:val="0053570F"/>
    <w:rsid w:val="00537DD1"/>
    <w:rsid w:val="005445DA"/>
    <w:rsid w:val="005510DB"/>
    <w:rsid w:val="00552CF0"/>
    <w:rsid w:val="005604EE"/>
    <w:rsid w:val="00572730"/>
    <w:rsid w:val="0057518B"/>
    <w:rsid w:val="00580062"/>
    <w:rsid w:val="00586B5C"/>
    <w:rsid w:val="0059774E"/>
    <w:rsid w:val="005A13C0"/>
    <w:rsid w:val="005A60D5"/>
    <w:rsid w:val="005B6EAF"/>
    <w:rsid w:val="005F040C"/>
    <w:rsid w:val="005F3B7F"/>
    <w:rsid w:val="006022AF"/>
    <w:rsid w:val="00605039"/>
    <w:rsid w:val="00605BAB"/>
    <w:rsid w:val="00611228"/>
    <w:rsid w:val="006339C5"/>
    <w:rsid w:val="00672706"/>
    <w:rsid w:val="00676F2E"/>
    <w:rsid w:val="00677DAF"/>
    <w:rsid w:val="006858BB"/>
    <w:rsid w:val="006B262A"/>
    <w:rsid w:val="006B6E82"/>
    <w:rsid w:val="006C0C57"/>
    <w:rsid w:val="006D315D"/>
    <w:rsid w:val="006E1BC1"/>
    <w:rsid w:val="006F10D3"/>
    <w:rsid w:val="006F4B34"/>
    <w:rsid w:val="0071383B"/>
    <w:rsid w:val="00714845"/>
    <w:rsid w:val="0074557C"/>
    <w:rsid w:val="00751DDF"/>
    <w:rsid w:val="00755A11"/>
    <w:rsid w:val="00795ECE"/>
    <w:rsid w:val="0079619F"/>
    <w:rsid w:val="007B1776"/>
    <w:rsid w:val="007B2F4C"/>
    <w:rsid w:val="007D5818"/>
    <w:rsid w:val="00807855"/>
    <w:rsid w:val="0084390B"/>
    <w:rsid w:val="0085412C"/>
    <w:rsid w:val="0085661E"/>
    <w:rsid w:val="00862A77"/>
    <w:rsid w:val="008A2620"/>
    <w:rsid w:val="008B222F"/>
    <w:rsid w:val="008B6D32"/>
    <w:rsid w:val="008F7B3A"/>
    <w:rsid w:val="0090367F"/>
    <w:rsid w:val="00906A57"/>
    <w:rsid w:val="009166DD"/>
    <w:rsid w:val="00920C85"/>
    <w:rsid w:val="00951A8D"/>
    <w:rsid w:val="00952444"/>
    <w:rsid w:val="00960222"/>
    <w:rsid w:val="0096100E"/>
    <w:rsid w:val="009750C4"/>
    <w:rsid w:val="00981413"/>
    <w:rsid w:val="00994120"/>
    <w:rsid w:val="00994F46"/>
    <w:rsid w:val="00995E6C"/>
    <w:rsid w:val="009A0B06"/>
    <w:rsid w:val="009B0932"/>
    <w:rsid w:val="009B28D6"/>
    <w:rsid w:val="009C231C"/>
    <w:rsid w:val="009D3F8B"/>
    <w:rsid w:val="009E6859"/>
    <w:rsid w:val="00A12289"/>
    <w:rsid w:val="00A141F3"/>
    <w:rsid w:val="00A177AF"/>
    <w:rsid w:val="00A45E23"/>
    <w:rsid w:val="00A55AC5"/>
    <w:rsid w:val="00A73129"/>
    <w:rsid w:val="00AA46EB"/>
    <w:rsid w:val="00AA503B"/>
    <w:rsid w:val="00AB7D39"/>
    <w:rsid w:val="00AC5F44"/>
    <w:rsid w:val="00AD29C7"/>
    <w:rsid w:val="00AD6F41"/>
    <w:rsid w:val="00AE02DD"/>
    <w:rsid w:val="00AE36A0"/>
    <w:rsid w:val="00AE3D16"/>
    <w:rsid w:val="00AF657B"/>
    <w:rsid w:val="00B05026"/>
    <w:rsid w:val="00B105C7"/>
    <w:rsid w:val="00B24F82"/>
    <w:rsid w:val="00B272EA"/>
    <w:rsid w:val="00B37EAA"/>
    <w:rsid w:val="00B64589"/>
    <w:rsid w:val="00B70D9F"/>
    <w:rsid w:val="00B75D07"/>
    <w:rsid w:val="00B802C6"/>
    <w:rsid w:val="00B80B9C"/>
    <w:rsid w:val="00B81353"/>
    <w:rsid w:val="00B824E7"/>
    <w:rsid w:val="00B87E7B"/>
    <w:rsid w:val="00BB0CB8"/>
    <w:rsid w:val="00BB4994"/>
    <w:rsid w:val="00BC13BC"/>
    <w:rsid w:val="00BD20C5"/>
    <w:rsid w:val="00BD7D1D"/>
    <w:rsid w:val="00C01330"/>
    <w:rsid w:val="00C03910"/>
    <w:rsid w:val="00C12716"/>
    <w:rsid w:val="00C142D4"/>
    <w:rsid w:val="00C255AC"/>
    <w:rsid w:val="00C46AE6"/>
    <w:rsid w:val="00C748C3"/>
    <w:rsid w:val="00C80345"/>
    <w:rsid w:val="00CB4C7B"/>
    <w:rsid w:val="00CC4122"/>
    <w:rsid w:val="00CC7F7C"/>
    <w:rsid w:val="00CD2411"/>
    <w:rsid w:val="00CD5F2F"/>
    <w:rsid w:val="00CD70AA"/>
    <w:rsid w:val="00CE1102"/>
    <w:rsid w:val="00D01B1A"/>
    <w:rsid w:val="00D0368C"/>
    <w:rsid w:val="00D137AE"/>
    <w:rsid w:val="00D144BA"/>
    <w:rsid w:val="00D17B25"/>
    <w:rsid w:val="00D45F0F"/>
    <w:rsid w:val="00D764E5"/>
    <w:rsid w:val="00D80D57"/>
    <w:rsid w:val="00D83F42"/>
    <w:rsid w:val="00D90A8C"/>
    <w:rsid w:val="00D9744E"/>
    <w:rsid w:val="00DA732C"/>
    <w:rsid w:val="00DB63A2"/>
    <w:rsid w:val="00DC47A4"/>
    <w:rsid w:val="00DD206A"/>
    <w:rsid w:val="00DD775F"/>
    <w:rsid w:val="00E23F8E"/>
    <w:rsid w:val="00E27C99"/>
    <w:rsid w:val="00E328D8"/>
    <w:rsid w:val="00E3389A"/>
    <w:rsid w:val="00E34033"/>
    <w:rsid w:val="00E55ADC"/>
    <w:rsid w:val="00E64BF2"/>
    <w:rsid w:val="00E66863"/>
    <w:rsid w:val="00E95BE0"/>
    <w:rsid w:val="00EA37B3"/>
    <w:rsid w:val="00EA713C"/>
    <w:rsid w:val="00EB6D86"/>
    <w:rsid w:val="00EC05A9"/>
    <w:rsid w:val="00EC0F15"/>
    <w:rsid w:val="00ED755B"/>
    <w:rsid w:val="00EE71FD"/>
    <w:rsid w:val="00EF0AD4"/>
    <w:rsid w:val="00F1381F"/>
    <w:rsid w:val="00F178D8"/>
    <w:rsid w:val="00F27065"/>
    <w:rsid w:val="00F273F5"/>
    <w:rsid w:val="00F31E7D"/>
    <w:rsid w:val="00F40E0E"/>
    <w:rsid w:val="00F806C5"/>
    <w:rsid w:val="00FA104E"/>
    <w:rsid w:val="00FA288E"/>
    <w:rsid w:val="00FA46F7"/>
    <w:rsid w:val="00FB7395"/>
    <w:rsid w:val="00FD0E8F"/>
    <w:rsid w:val="00FD4D77"/>
    <w:rsid w:val="00FF6B7F"/>
    <w:rsid w:val="00FF6CA1"/>
    <w:rsid w:val="32791A59"/>
    <w:rsid w:val="42DD65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76" w:lineRule="auto"/>
    </w:pPr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"/>
    <w:pPr>
      <w:keepNext/>
      <w:keepLines/>
      <w:spacing w:before="320" w:after="0" w:line="240" w:lineRule="auto"/>
      <w:outlineLvl w:val="0"/>
    </w:pPr>
    <w:rPr>
      <w:rFonts w:asciiTheme="majorHAnsi" w:hAnsiTheme="majorHAnsi" w:eastAsiaTheme="majorEastAsia" w:cstheme="majorBidi"/>
      <w:color w:val="366091" w:themeColor="accent1" w:themeShade="BF"/>
      <w:sz w:val="32"/>
      <w:szCs w:val="32"/>
    </w:rPr>
  </w:style>
  <w:style w:type="paragraph" w:styleId="3">
    <w:name w:val="heading 2"/>
    <w:basedOn w:val="1"/>
    <w:next w:val="1"/>
    <w:link w:val="38"/>
    <w:semiHidden/>
    <w:unhideWhenUsed/>
    <w:qFormat/>
    <w:uiPriority w:val="9"/>
    <w:pPr>
      <w:keepNext/>
      <w:keepLines/>
      <w:spacing w:before="80" w:after="0" w:line="240" w:lineRule="auto"/>
      <w:outlineLvl w:val="1"/>
    </w:pPr>
    <w:rPr>
      <w:rFonts w:asciiTheme="majorHAnsi" w:hAnsiTheme="majorHAnsi" w:eastAsiaTheme="majorEastAsia" w:cstheme="majorBidi"/>
      <w:color w:val="3F3F3F" w:themeColor="text1" w:themeTint="BF"/>
      <w:sz w:val="28"/>
      <w:szCs w:val="28"/>
    </w:rPr>
  </w:style>
  <w:style w:type="paragraph" w:styleId="4">
    <w:name w:val="heading 3"/>
    <w:basedOn w:val="1"/>
    <w:next w:val="1"/>
    <w:link w:val="39"/>
    <w:semiHidden/>
    <w:unhideWhenUsed/>
    <w:qFormat/>
    <w:uiPriority w:val="9"/>
    <w:pPr>
      <w:keepNext/>
      <w:keepLines/>
      <w:spacing w:before="40" w:after="0" w:line="240" w:lineRule="auto"/>
      <w:outlineLvl w:val="2"/>
    </w:pPr>
    <w:rPr>
      <w:rFonts w:asciiTheme="majorHAnsi" w:hAnsiTheme="majorHAnsi" w:eastAsiaTheme="majorEastAsia" w:cstheme="majorBidi"/>
      <w:color w:val="1F497D" w:themeColor="text2"/>
      <w:sz w:val="24"/>
      <w:szCs w:val="24"/>
    </w:rPr>
  </w:style>
  <w:style w:type="paragraph" w:styleId="5">
    <w:name w:val="heading 4"/>
    <w:basedOn w:val="1"/>
    <w:next w:val="1"/>
    <w:link w:val="40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sz w:val="22"/>
      <w:szCs w:val="22"/>
    </w:rPr>
  </w:style>
  <w:style w:type="paragraph" w:styleId="6">
    <w:name w:val="heading 5"/>
    <w:basedOn w:val="1"/>
    <w:next w:val="1"/>
    <w:link w:val="41"/>
    <w:semiHidden/>
    <w:unhideWhenUsed/>
    <w:qFormat/>
    <w:uiPriority w:val="9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1F497D" w:themeColor="text2"/>
      <w:sz w:val="22"/>
      <w:szCs w:val="22"/>
    </w:rPr>
  </w:style>
  <w:style w:type="paragraph" w:styleId="7">
    <w:name w:val="heading 6"/>
    <w:basedOn w:val="1"/>
    <w:next w:val="1"/>
    <w:link w:val="42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i/>
      <w:iCs/>
      <w:color w:val="1F497D" w:themeColor="text2"/>
      <w:sz w:val="21"/>
      <w:szCs w:val="21"/>
    </w:rPr>
  </w:style>
  <w:style w:type="paragraph" w:styleId="8">
    <w:name w:val="heading 7"/>
    <w:basedOn w:val="1"/>
    <w:next w:val="1"/>
    <w:link w:val="43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44061" w:themeColor="accent1" w:themeShade="80"/>
      <w:sz w:val="21"/>
      <w:szCs w:val="21"/>
    </w:rPr>
  </w:style>
  <w:style w:type="paragraph" w:styleId="9">
    <w:name w:val="heading 8"/>
    <w:basedOn w:val="1"/>
    <w:next w:val="1"/>
    <w:link w:val="44"/>
    <w:semiHidden/>
    <w:unhideWhenUsed/>
    <w:qFormat/>
    <w:uiPriority w:val="9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bCs/>
      <w:color w:val="1F497D" w:themeColor="text2"/>
    </w:rPr>
  </w:style>
  <w:style w:type="paragraph" w:styleId="10">
    <w:name w:val="heading 9"/>
    <w:basedOn w:val="1"/>
    <w:next w:val="1"/>
    <w:link w:val="45"/>
    <w:semiHidden/>
    <w:unhideWhenUsed/>
    <w:qFormat/>
    <w:uiPriority w:val="9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bCs/>
      <w:i/>
      <w:iCs/>
      <w:color w:val="1F497D" w:themeColor="text2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smallCaps/>
      <w:color w:val="585858" w:themeColor="text1" w:themeTint="A6"/>
      <w:spacing w:val="6"/>
    </w:rPr>
  </w:style>
  <w:style w:type="paragraph" w:styleId="12">
    <w:name w:val="annotation text"/>
    <w:basedOn w:val="1"/>
    <w:link w:val="27"/>
    <w:uiPriority w:val="0"/>
    <w:rPr>
      <w:szCs w:val="22"/>
    </w:rPr>
  </w:style>
  <w:style w:type="paragraph" w:styleId="13">
    <w:name w:val="Plain Text"/>
    <w:basedOn w:val="1"/>
    <w:link w:val="26"/>
    <w:uiPriority w:val="0"/>
    <w:rPr>
      <w:rFonts w:ascii="宋体" w:hAnsi="Courier New" w:cs="Courier New"/>
      <w:szCs w:val="21"/>
    </w:rPr>
  </w:style>
  <w:style w:type="paragraph" w:styleId="14">
    <w:name w:val="Balloon Text"/>
    <w:basedOn w:val="1"/>
    <w:link w:val="35"/>
    <w:semiHidden/>
    <w:unhideWhenUsed/>
    <w:uiPriority w:val="99"/>
    <w:rPr>
      <w:sz w:val="18"/>
      <w:szCs w:val="18"/>
    </w:rPr>
  </w:style>
  <w:style w:type="paragraph" w:styleId="15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6">
    <w:name w:val="header"/>
    <w:basedOn w:val="1"/>
    <w:link w:val="2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7">
    <w:name w:val="Subtitle"/>
    <w:basedOn w:val="1"/>
    <w:next w:val="1"/>
    <w:link w:val="46"/>
    <w:qFormat/>
    <w:uiPriority w:val="11"/>
    <w:pPr>
      <w:spacing w:line="240" w:lineRule="auto"/>
    </w:pPr>
    <w:rPr>
      <w:rFonts w:asciiTheme="majorHAnsi" w:hAnsiTheme="majorHAnsi" w:eastAsiaTheme="majorEastAsia" w:cstheme="majorBidi"/>
      <w:sz w:val="24"/>
      <w:szCs w:val="24"/>
    </w:rPr>
  </w:style>
  <w:style w:type="paragraph" w:styleId="18">
    <w:name w:val="Body Text Indent 3"/>
    <w:basedOn w:val="1"/>
    <w:link w:val="31"/>
    <w:uiPriority w:val="0"/>
    <w:pPr>
      <w:spacing w:line="440" w:lineRule="exact"/>
      <w:ind w:firstLine="554" w:firstLineChars="198"/>
    </w:pPr>
    <w:rPr>
      <w:sz w:val="28"/>
      <w:szCs w:val="24"/>
      <w:lang w:val="en-GB"/>
    </w:rPr>
  </w:style>
  <w:style w:type="paragraph" w:styleId="19">
    <w:name w:val="Title"/>
    <w:basedOn w:val="1"/>
    <w:next w:val="1"/>
    <w:link w:val="33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color w:val="4F81BD" w:themeColor="accent1"/>
      <w:spacing w:val="-10"/>
      <w:sz w:val="56"/>
      <w:szCs w:val="56"/>
    </w:rPr>
  </w:style>
  <w:style w:type="paragraph" w:styleId="20">
    <w:name w:val="annotation subject"/>
    <w:basedOn w:val="12"/>
    <w:next w:val="12"/>
    <w:link w:val="34"/>
    <w:semiHidden/>
    <w:unhideWhenUsed/>
    <w:uiPriority w:val="99"/>
    <w:rPr>
      <w:rFonts w:ascii="Times New Roman" w:hAnsi="Times New Roman" w:eastAsia="宋体" w:cs="Times New Roman"/>
      <w:b/>
      <w:bCs/>
      <w:szCs w:val="20"/>
    </w:rPr>
  </w:style>
  <w:style w:type="character" w:styleId="23">
    <w:name w:val="Strong"/>
    <w:basedOn w:val="22"/>
    <w:qFormat/>
    <w:uiPriority w:val="22"/>
    <w:rPr>
      <w:b/>
      <w:bCs/>
    </w:rPr>
  </w:style>
  <w:style w:type="character" w:styleId="24">
    <w:name w:val="Emphasis"/>
    <w:basedOn w:val="22"/>
    <w:qFormat/>
    <w:uiPriority w:val="20"/>
    <w:rPr>
      <w:i/>
      <w:iCs/>
    </w:rPr>
  </w:style>
  <w:style w:type="character" w:styleId="25">
    <w:name w:val="annotation reference"/>
    <w:basedOn w:val="22"/>
    <w:semiHidden/>
    <w:unhideWhenUsed/>
    <w:uiPriority w:val="99"/>
    <w:rPr>
      <w:sz w:val="21"/>
      <w:szCs w:val="21"/>
    </w:rPr>
  </w:style>
  <w:style w:type="character" w:customStyle="1" w:styleId="26">
    <w:name w:val="纯文本 Char"/>
    <w:link w:val="13"/>
    <w:qFormat/>
    <w:uiPriority w:val="0"/>
    <w:rPr>
      <w:rFonts w:ascii="宋体" w:hAnsi="Courier New" w:cs="Courier New"/>
      <w:szCs w:val="21"/>
    </w:rPr>
  </w:style>
  <w:style w:type="character" w:customStyle="1" w:styleId="27">
    <w:name w:val="批注文字 Char"/>
    <w:link w:val="12"/>
    <w:qFormat/>
    <w:uiPriority w:val="0"/>
  </w:style>
  <w:style w:type="character" w:customStyle="1" w:styleId="28">
    <w:name w:val="页眉 Char"/>
    <w:basedOn w:val="22"/>
    <w:link w:val="16"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29">
    <w:name w:val="纯文本 Char1"/>
    <w:basedOn w:val="22"/>
    <w:semiHidden/>
    <w:uiPriority w:val="99"/>
    <w:rPr>
      <w:rFonts w:ascii="宋体" w:hAnsi="Courier New" w:eastAsia="宋体" w:cs="Courier New"/>
      <w:szCs w:val="21"/>
    </w:rPr>
  </w:style>
  <w:style w:type="character" w:customStyle="1" w:styleId="30">
    <w:name w:val="批注文字 Char1"/>
    <w:basedOn w:val="22"/>
    <w:semiHidden/>
    <w:uiPriority w:val="99"/>
    <w:rPr>
      <w:rFonts w:ascii="Times New Roman" w:hAnsi="Times New Roman" w:eastAsia="宋体" w:cs="Times New Roman"/>
      <w:szCs w:val="20"/>
    </w:rPr>
  </w:style>
  <w:style w:type="character" w:customStyle="1" w:styleId="31">
    <w:name w:val="正文文本缩进 3 Char"/>
    <w:basedOn w:val="22"/>
    <w:link w:val="18"/>
    <w:uiPriority w:val="0"/>
    <w:rPr>
      <w:rFonts w:ascii="Times New Roman" w:hAnsi="Times New Roman" w:eastAsia="宋体" w:cs="Times New Roman"/>
      <w:sz w:val="28"/>
      <w:szCs w:val="24"/>
      <w:lang w:val="en-GB"/>
    </w:rPr>
  </w:style>
  <w:style w:type="character" w:customStyle="1" w:styleId="32">
    <w:name w:val="标题 1 Char"/>
    <w:basedOn w:val="22"/>
    <w:link w:val="2"/>
    <w:uiPriority w:val="9"/>
    <w:rPr>
      <w:rFonts w:asciiTheme="majorHAnsi" w:hAnsiTheme="majorHAnsi" w:eastAsiaTheme="majorEastAsia" w:cstheme="majorBidi"/>
      <w:color w:val="366091" w:themeColor="accent1" w:themeShade="BF"/>
      <w:sz w:val="32"/>
      <w:szCs w:val="32"/>
    </w:rPr>
  </w:style>
  <w:style w:type="character" w:customStyle="1" w:styleId="33">
    <w:name w:val="标题 Char"/>
    <w:basedOn w:val="22"/>
    <w:link w:val="19"/>
    <w:uiPriority w:val="10"/>
    <w:rPr>
      <w:rFonts w:asciiTheme="majorHAnsi" w:hAnsiTheme="majorHAnsi" w:eastAsiaTheme="majorEastAsia" w:cstheme="majorBidi"/>
      <w:color w:val="4F81BD" w:themeColor="accent1"/>
      <w:spacing w:val="-10"/>
      <w:sz w:val="56"/>
      <w:szCs w:val="56"/>
    </w:rPr>
  </w:style>
  <w:style w:type="character" w:customStyle="1" w:styleId="34">
    <w:name w:val="批注主题 Char"/>
    <w:basedOn w:val="27"/>
    <w:link w:val="20"/>
    <w:semiHidden/>
    <w:uiPriority w:val="99"/>
    <w:rPr>
      <w:rFonts w:ascii="Times New Roman" w:hAnsi="Times New Roman" w:eastAsia="宋体" w:cs="Times New Roman"/>
      <w:b/>
      <w:bCs/>
      <w:szCs w:val="20"/>
    </w:rPr>
  </w:style>
  <w:style w:type="character" w:customStyle="1" w:styleId="35">
    <w:name w:val="批注框文本 Char"/>
    <w:basedOn w:val="22"/>
    <w:link w:val="1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6">
    <w:name w:val="页脚 Char"/>
    <w:basedOn w:val="22"/>
    <w:link w:val="15"/>
    <w:uiPriority w:val="99"/>
    <w:rPr>
      <w:rFonts w:ascii="Times New Roman" w:hAnsi="Times New Roman" w:eastAsia="宋体" w:cs="Times New Roman"/>
      <w:sz w:val="18"/>
      <w:szCs w:val="18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character" w:customStyle="1" w:styleId="38">
    <w:name w:val="标题 2 Char"/>
    <w:basedOn w:val="22"/>
    <w:link w:val="3"/>
    <w:semiHidden/>
    <w:uiPriority w:val="9"/>
    <w:rPr>
      <w:rFonts w:asciiTheme="majorHAnsi" w:hAnsiTheme="majorHAnsi" w:eastAsiaTheme="majorEastAsia" w:cstheme="majorBidi"/>
      <w:color w:val="3F3F3F" w:themeColor="text1" w:themeTint="BF"/>
      <w:sz w:val="28"/>
      <w:szCs w:val="28"/>
    </w:rPr>
  </w:style>
  <w:style w:type="character" w:customStyle="1" w:styleId="39">
    <w:name w:val="标题 3 Char"/>
    <w:basedOn w:val="22"/>
    <w:link w:val="4"/>
    <w:semiHidden/>
    <w:uiPriority w:val="9"/>
    <w:rPr>
      <w:rFonts w:asciiTheme="majorHAnsi" w:hAnsiTheme="majorHAnsi" w:eastAsiaTheme="majorEastAsia" w:cstheme="majorBidi"/>
      <w:color w:val="1F497D" w:themeColor="text2"/>
      <w:sz w:val="24"/>
      <w:szCs w:val="24"/>
    </w:rPr>
  </w:style>
  <w:style w:type="character" w:customStyle="1" w:styleId="40">
    <w:name w:val="标题 4 Char"/>
    <w:basedOn w:val="22"/>
    <w:link w:val="5"/>
    <w:semiHidden/>
    <w:uiPriority w:val="9"/>
    <w:rPr>
      <w:rFonts w:asciiTheme="majorHAnsi" w:hAnsiTheme="majorHAnsi" w:eastAsiaTheme="majorEastAsia" w:cstheme="majorBidi"/>
      <w:sz w:val="22"/>
      <w:szCs w:val="22"/>
    </w:rPr>
  </w:style>
  <w:style w:type="character" w:customStyle="1" w:styleId="41">
    <w:name w:val="标题 5 Char"/>
    <w:basedOn w:val="22"/>
    <w:link w:val="6"/>
    <w:semiHidden/>
    <w:uiPriority w:val="9"/>
    <w:rPr>
      <w:rFonts w:asciiTheme="majorHAnsi" w:hAnsiTheme="majorHAnsi" w:eastAsiaTheme="majorEastAsia" w:cstheme="majorBidi"/>
      <w:color w:val="1F497D" w:themeColor="text2"/>
      <w:sz w:val="22"/>
      <w:szCs w:val="22"/>
    </w:rPr>
  </w:style>
  <w:style w:type="character" w:customStyle="1" w:styleId="42">
    <w:name w:val="标题 6 Char"/>
    <w:basedOn w:val="22"/>
    <w:link w:val="7"/>
    <w:semiHidden/>
    <w:uiPriority w:val="9"/>
    <w:rPr>
      <w:rFonts w:asciiTheme="majorHAnsi" w:hAnsiTheme="majorHAnsi" w:eastAsiaTheme="majorEastAsia" w:cstheme="majorBidi"/>
      <w:i/>
      <w:iCs/>
      <w:color w:val="1F497D" w:themeColor="text2"/>
      <w:sz w:val="21"/>
      <w:szCs w:val="21"/>
    </w:rPr>
  </w:style>
  <w:style w:type="character" w:customStyle="1" w:styleId="43">
    <w:name w:val="标题 7 Char"/>
    <w:basedOn w:val="22"/>
    <w:link w:val="8"/>
    <w:semiHidden/>
    <w:uiPriority w:val="9"/>
    <w:rPr>
      <w:rFonts w:asciiTheme="majorHAnsi" w:hAnsiTheme="majorHAnsi" w:eastAsiaTheme="majorEastAsia" w:cstheme="majorBidi"/>
      <w:i/>
      <w:iCs/>
      <w:color w:val="244061" w:themeColor="accent1" w:themeShade="80"/>
      <w:sz w:val="21"/>
      <w:szCs w:val="21"/>
    </w:rPr>
  </w:style>
  <w:style w:type="character" w:customStyle="1" w:styleId="44">
    <w:name w:val="标题 8 Char"/>
    <w:basedOn w:val="22"/>
    <w:link w:val="9"/>
    <w:semiHidden/>
    <w:uiPriority w:val="9"/>
    <w:rPr>
      <w:rFonts w:asciiTheme="majorHAnsi" w:hAnsiTheme="majorHAnsi" w:eastAsiaTheme="majorEastAsia" w:cstheme="majorBidi"/>
      <w:b/>
      <w:bCs/>
      <w:color w:val="1F497D" w:themeColor="text2"/>
    </w:rPr>
  </w:style>
  <w:style w:type="character" w:customStyle="1" w:styleId="45">
    <w:name w:val="标题 9 Char"/>
    <w:basedOn w:val="22"/>
    <w:link w:val="10"/>
    <w:semiHidden/>
    <w:uiPriority w:val="9"/>
    <w:rPr>
      <w:rFonts w:asciiTheme="majorHAnsi" w:hAnsiTheme="majorHAnsi" w:eastAsiaTheme="majorEastAsia" w:cstheme="majorBidi"/>
      <w:b/>
      <w:bCs/>
      <w:i/>
      <w:iCs/>
      <w:color w:val="1F497D" w:themeColor="text2"/>
    </w:rPr>
  </w:style>
  <w:style w:type="character" w:customStyle="1" w:styleId="46">
    <w:name w:val="副标题 Char"/>
    <w:basedOn w:val="22"/>
    <w:link w:val="17"/>
    <w:uiPriority w:val="11"/>
    <w:rPr>
      <w:rFonts w:asciiTheme="majorHAnsi" w:hAnsiTheme="majorHAnsi" w:eastAsiaTheme="majorEastAsia" w:cstheme="majorBidi"/>
      <w:sz w:val="24"/>
      <w:szCs w:val="24"/>
    </w:rPr>
  </w:style>
  <w:style w:type="paragraph" w:styleId="4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lang w:val="en-US" w:eastAsia="zh-CN" w:bidi="ar-SA"/>
    </w:rPr>
  </w:style>
  <w:style w:type="paragraph" w:styleId="48">
    <w:name w:val="Quote"/>
    <w:basedOn w:val="1"/>
    <w:next w:val="1"/>
    <w:link w:val="49"/>
    <w:qFormat/>
    <w:uiPriority w:val="29"/>
    <w:pPr>
      <w:spacing w:before="160"/>
      <w:ind w:left="720" w:right="720"/>
    </w:pPr>
    <w:rPr>
      <w:i/>
      <w:iCs/>
      <w:color w:val="3F3F3F" w:themeColor="text1" w:themeTint="BF"/>
    </w:rPr>
  </w:style>
  <w:style w:type="character" w:customStyle="1" w:styleId="49">
    <w:name w:val="引用 Char"/>
    <w:basedOn w:val="22"/>
    <w:link w:val="48"/>
    <w:qFormat/>
    <w:uiPriority w:val="29"/>
    <w:rPr>
      <w:i/>
      <w:iCs/>
      <w:color w:val="3F3F3F" w:themeColor="text1" w:themeTint="BF"/>
    </w:rPr>
  </w:style>
  <w:style w:type="paragraph" w:styleId="50">
    <w:name w:val="Intense Quote"/>
    <w:basedOn w:val="1"/>
    <w:next w:val="1"/>
    <w:link w:val="51"/>
    <w:qFormat/>
    <w:uiPriority w:val="30"/>
    <w:pPr>
      <w:pBdr>
        <w:left w:val="single" w:color="4F81BD" w:themeColor="accent1" w:sz="18" w:space="12"/>
      </w:pBdr>
      <w:spacing w:before="100" w:beforeAutospacing="1" w:line="300" w:lineRule="auto"/>
      <w:ind w:left="1224" w:right="1224"/>
    </w:pPr>
    <w:rPr>
      <w:rFonts w:asciiTheme="majorHAnsi" w:hAnsiTheme="majorHAnsi" w:eastAsiaTheme="majorEastAsia" w:cstheme="majorBidi"/>
      <w:color w:val="4F81BD" w:themeColor="accent1"/>
      <w:sz w:val="28"/>
      <w:szCs w:val="28"/>
    </w:rPr>
  </w:style>
  <w:style w:type="character" w:customStyle="1" w:styleId="51">
    <w:name w:val="明显引用 Char"/>
    <w:basedOn w:val="22"/>
    <w:link w:val="50"/>
    <w:qFormat/>
    <w:uiPriority w:val="30"/>
    <w:rPr>
      <w:rFonts w:asciiTheme="majorHAnsi" w:hAnsiTheme="majorHAnsi" w:eastAsiaTheme="majorEastAsia" w:cstheme="majorBidi"/>
      <w:color w:val="4F81BD" w:themeColor="accent1"/>
      <w:sz w:val="28"/>
      <w:szCs w:val="28"/>
    </w:rPr>
  </w:style>
  <w:style w:type="character" w:customStyle="1" w:styleId="52">
    <w:name w:val="Subtle Emphasis"/>
    <w:basedOn w:val="22"/>
    <w:qFormat/>
    <w:uiPriority w:val="19"/>
    <w:rPr>
      <w:i/>
      <w:iCs/>
      <w:color w:val="3F3F3F" w:themeColor="text1" w:themeTint="BF"/>
    </w:rPr>
  </w:style>
  <w:style w:type="character" w:customStyle="1" w:styleId="53">
    <w:name w:val="Intense Emphasis"/>
    <w:basedOn w:val="22"/>
    <w:qFormat/>
    <w:uiPriority w:val="21"/>
    <w:rPr>
      <w:b/>
      <w:bCs/>
      <w:i/>
      <w:iCs/>
    </w:rPr>
  </w:style>
  <w:style w:type="character" w:customStyle="1" w:styleId="54">
    <w:name w:val="Subtle Reference"/>
    <w:basedOn w:val="22"/>
    <w:qFormat/>
    <w:uiPriority w:val="31"/>
    <w:rPr>
      <w:smallCaps/>
      <w:color w:val="3F3F3F" w:themeColor="text1" w:themeTint="BF"/>
      <w:u w:val="single" w:color="7E7E7E" w:themeColor="text1" w:themeTint="80"/>
    </w:rPr>
  </w:style>
  <w:style w:type="character" w:customStyle="1" w:styleId="55">
    <w:name w:val="Intense Reference"/>
    <w:basedOn w:val="22"/>
    <w:qFormat/>
    <w:uiPriority w:val="32"/>
    <w:rPr>
      <w:b/>
      <w:bCs/>
      <w:smallCaps/>
      <w:spacing w:val="5"/>
      <w:u w:val="single"/>
    </w:rPr>
  </w:style>
  <w:style w:type="character" w:customStyle="1" w:styleId="56">
    <w:name w:val="Book Title"/>
    <w:basedOn w:val="22"/>
    <w:qFormat/>
    <w:uiPriority w:val="33"/>
    <w:rPr>
      <w:b/>
      <w:bCs/>
      <w:smallCaps/>
    </w:rPr>
  </w:style>
  <w:style w:type="paragraph" w:customStyle="1" w:styleId="57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5D98B-A89B-4952-A12B-A8901F3781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4281</Words>
  <Characters>5140</Characters>
  <Lines>38</Lines>
  <Paragraphs>10</Paragraphs>
  <TotalTime>0</TotalTime>
  <ScaleCrop>false</ScaleCrop>
  <LinksUpToDate>false</LinksUpToDate>
  <CharactersWithSpaces>5210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2020-01-15T03:33:00Z</dcterms:created>
  <dc:creator>微软用户</dc:creator>
  <cp:lastModifiedBy>君佐</cp:lastModifiedBy>
  <cp:lastPrinted>2019-12-16T02:52:00Z</cp:lastPrinted>
  <dcterms:modified xsi:type="dcterms:W3CDTF">2024-09-29T01:54:21Z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A2F5BCB46FA443F8852EC8D46DCE91AC_12</vt:lpwstr>
  </property>
</Properties>
</file>