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0BD5D">
      <w:pPr>
        <w:rPr>
          <w:b/>
          <w:sz w:val="44"/>
          <w:szCs w:val="44"/>
        </w:rPr>
      </w:pPr>
    </w:p>
    <w:p w14:paraId="3CA276E4">
      <w:pPr>
        <w:rPr>
          <w:b/>
          <w:sz w:val="44"/>
          <w:szCs w:val="44"/>
        </w:rPr>
      </w:pPr>
    </w:p>
    <w:p w14:paraId="1D823270">
      <w:pPr>
        <w:rPr>
          <w:b/>
          <w:sz w:val="44"/>
          <w:szCs w:val="44"/>
        </w:rPr>
      </w:pPr>
    </w:p>
    <w:p w14:paraId="45C93AD7">
      <w:pPr>
        <w:rPr>
          <w:b/>
          <w:sz w:val="44"/>
          <w:szCs w:val="44"/>
        </w:rPr>
      </w:pPr>
    </w:p>
    <w:p w14:paraId="6A01E5E2">
      <w:pPr>
        <w:rPr>
          <w:b/>
          <w:sz w:val="44"/>
          <w:szCs w:val="44"/>
        </w:rPr>
      </w:pPr>
    </w:p>
    <w:p w14:paraId="2637B77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广东财经大学</w:t>
      </w:r>
    </w:p>
    <w:p w14:paraId="62396348">
      <w:pPr>
        <w:jc w:val="center"/>
        <w:rPr>
          <w:b/>
          <w:sz w:val="44"/>
          <w:szCs w:val="44"/>
        </w:rPr>
      </w:pPr>
    </w:p>
    <w:p w14:paraId="28E00BCB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选课操作手册</w:t>
      </w:r>
    </w:p>
    <w:p w14:paraId="115230C5">
      <w:pPr>
        <w:jc w:val="center"/>
        <w:rPr>
          <w:b/>
          <w:sz w:val="44"/>
          <w:szCs w:val="44"/>
        </w:rPr>
      </w:pPr>
    </w:p>
    <w:p w14:paraId="4A42FE56">
      <w:pPr>
        <w:jc w:val="center"/>
        <w:rPr>
          <w:b/>
          <w:sz w:val="44"/>
          <w:szCs w:val="44"/>
        </w:rPr>
      </w:pPr>
    </w:p>
    <w:p w14:paraId="252121DF">
      <w:pPr>
        <w:rPr>
          <w:b/>
          <w:sz w:val="44"/>
          <w:szCs w:val="44"/>
        </w:rPr>
      </w:pPr>
    </w:p>
    <w:p w14:paraId="4E4BDA16">
      <w:pPr>
        <w:rPr>
          <w:b/>
          <w:sz w:val="44"/>
          <w:szCs w:val="44"/>
        </w:rPr>
      </w:pPr>
    </w:p>
    <w:p w14:paraId="6A4C38D8">
      <w:pPr>
        <w:rPr>
          <w:b/>
          <w:sz w:val="44"/>
          <w:szCs w:val="44"/>
        </w:rPr>
      </w:pPr>
    </w:p>
    <w:p w14:paraId="3B060BE3">
      <w:pPr>
        <w:rPr>
          <w:b/>
          <w:sz w:val="44"/>
          <w:szCs w:val="44"/>
        </w:rPr>
      </w:pPr>
    </w:p>
    <w:p w14:paraId="5B7DEE6D">
      <w:pPr>
        <w:ind w:firstLine="3567" w:firstLineChars="1189"/>
        <w:rPr>
          <w:b/>
          <w:sz w:val="30"/>
          <w:szCs w:val="30"/>
        </w:rPr>
      </w:pPr>
    </w:p>
    <w:p w14:paraId="5069CBF1">
      <w:pPr>
        <w:ind w:firstLine="3567" w:firstLineChars="1189"/>
        <w:rPr>
          <w:b/>
          <w:sz w:val="30"/>
          <w:szCs w:val="30"/>
        </w:rPr>
      </w:pPr>
    </w:p>
    <w:p w14:paraId="3364741F">
      <w:pPr>
        <w:ind w:firstLine="3567" w:firstLineChars="1189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0"/>
          <w:szCs w:val="30"/>
        </w:rPr>
        <w:t>教务</w:t>
      </w:r>
      <w:r>
        <w:rPr>
          <w:rFonts w:hint="eastAsia"/>
          <w:b/>
          <w:sz w:val="30"/>
          <w:szCs w:val="30"/>
          <w:lang w:val="en-US" w:eastAsia="zh-CN"/>
        </w:rPr>
        <w:t>部</w:t>
      </w:r>
      <w:bookmarkStart w:id="0" w:name="_GoBack"/>
      <w:bookmarkEnd w:id="0"/>
    </w:p>
    <w:p w14:paraId="5B09CAE8">
      <w:pPr>
        <w:jc w:val="center"/>
        <w:rPr>
          <w:b/>
          <w:sz w:val="32"/>
          <w:szCs w:val="32"/>
        </w:rPr>
      </w:pPr>
    </w:p>
    <w:p w14:paraId="598251B4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4C4CE168">
      <w:pPr>
        <w:rPr>
          <w:b/>
          <w:sz w:val="32"/>
          <w:szCs w:val="32"/>
        </w:rPr>
        <w:sectPr>
          <w:footerReference r:id="rId3" w:type="default"/>
          <w:pgSz w:w="11906" w:h="16838"/>
          <w:pgMar w:top="1440" w:right="1797" w:bottom="1440" w:left="1797" w:header="851" w:footer="992" w:gutter="0"/>
          <w:cols w:space="425" w:num="1"/>
          <w:docGrid w:type="linesAndChars" w:linePitch="312" w:charSpace="0"/>
        </w:sectPr>
      </w:pPr>
    </w:p>
    <w:p w14:paraId="775F066F">
      <w:pPr>
        <w:pStyle w:val="12"/>
        <w:numPr>
          <w:ilvl w:val="0"/>
          <w:numId w:val="1"/>
        </w:numPr>
        <w:spacing w:line="440" w:lineRule="exact"/>
        <w:ind w:firstLineChars="0"/>
        <w:jc w:val="left"/>
        <w:rPr>
          <w:b/>
          <w:szCs w:val="21"/>
        </w:rPr>
      </w:pPr>
      <w:r>
        <w:rPr>
          <w:rFonts w:hint="eastAsia"/>
          <w:b/>
          <w:szCs w:val="21"/>
        </w:rPr>
        <w:t>访问</w:t>
      </w:r>
      <w:r>
        <w:rPr>
          <w:b/>
          <w:szCs w:val="21"/>
        </w:rPr>
        <w:t>教务管理系统（</w:t>
      </w:r>
      <w:r>
        <w:rPr>
          <w:rFonts w:hint="eastAsia"/>
          <w:b/>
          <w:szCs w:val="21"/>
        </w:rPr>
        <w:t>教师学生端</w:t>
      </w:r>
      <w:r>
        <w:rPr>
          <w:b/>
          <w:szCs w:val="21"/>
        </w:rPr>
        <w:t>）</w:t>
      </w:r>
    </w:p>
    <w:p w14:paraId="7CB77AB5">
      <w:pPr>
        <w:spacing w:line="440" w:lineRule="exact"/>
        <w:ind w:firstLine="411" w:firstLineChars="196"/>
        <w:rPr>
          <w:szCs w:val="21"/>
        </w:rPr>
      </w:pPr>
      <w:r>
        <w:rPr>
          <w:rFonts w:hint="eastAsia"/>
          <w:szCs w:val="21"/>
        </w:rPr>
        <w:t>通过</w:t>
      </w:r>
      <w:r>
        <w:rPr>
          <w:szCs w:val="21"/>
        </w:rPr>
        <w:t>电脑或手机等联网终端，</w:t>
      </w:r>
      <w:r>
        <w:rPr>
          <w:rFonts w:hint="eastAsia"/>
          <w:szCs w:val="21"/>
        </w:rPr>
        <w:t>访问</w:t>
      </w:r>
      <w:r>
        <w:rPr>
          <w:szCs w:val="21"/>
        </w:rPr>
        <w:t>教务管理系统（</w:t>
      </w:r>
      <w:r>
        <w:rPr>
          <w:rFonts w:hint="eastAsia"/>
          <w:szCs w:val="21"/>
        </w:rPr>
        <w:t>教师学生端</w:t>
      </w:r>
      <w:r>
        <w:rPr>
          <w:szCs w:val="21"/>
        </w:rPr>
        <w:t>）</w:t>
      </w:r>
      <w:r>
        <w:rPr>
          <w:rFonts w:hint="eastAsia"/>
          <w:szCs w:val="21"/>
        </w:rPr>
        <w:t>网址</w:t>
      </w:r>
      <w:r>
        <w:rPr>
          <w:szCs w:val="21"/>
        </w:rPr>
        <w:t>：</w:t>
      </w:r>
      <w:r>
        <w:rPr>
          <w:rFonts w:hint="eastAsia"/>
          <w:szCs w:val="21"/>
        </w:rPr>
        <w:t>http://</w:t>
      </w:r>
      <w:r>
        <w:rPr>
          <w:szCs w:val="21"/>
        </w:rPr>
        <w:t>jwxt.</w:t>
      </w:r>
      <w:r>
        <w:rPr>
          <w:rFonts w:hint="eastAsia"/>
          <w:szCs w:val="21"/>
        </w:rPr>
        <w:t>gdu</w:t>
      </w:r>
      <w:r>
        <w:rPr>
          <w:szCs w:val="21"/>
        </w:rPr>
        <w:t>fe</w:t>
      </w:r>
      <w:r>
        <w:rPr>
          <w:rFonts w:hint="eastAsia"/>
          <w:szCs w:val="21"/>
        </w:rPr>
        <w:t>.edu.cn/</w:t>
      </w:r>
      <w:r>
        <w:rPr>
          <w:szCs w:val="21"/>
        </w:rPr>
        <w:t>jsxsd</w:t>
      </w:r>
      <w:r>
        <w:rPr>
          <w:rFonts w:hint="eastAsia"/>
          <w:szCs w:val="21"/>
        </w:rPr>
        <w:t>）</w:t>
      </w:r>
    </w:p>
    <w:p w14:paraId="01011F11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3606800" cy="1901190"/>
            <wp:effectExtent l="0" t="0" r="0" b="3810"/>
            <wp:docPr id="7" name="图片 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6" t="19811" r="21332" b="24805"/>
                    <a:stretch>
                      <a:fillRect/>
                    </a:stretch>
                  </pic:blipFill>
                  <pic:spPr>
                    <a:xfrm>
                      <a:off x="0" y="0"/>
                      <a:ext cx="3631620" cy="19148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C62A2">
      <w:pPr>
        <w:pStyle w:val="12"/>
        <w:numPr>
          <w:ilvl w:val="0"/>
          <w:numId w:val="1"/>
        </w:numPr>
        <w:spacing w:line="440" w:lineRule="exact"/>
        <w:ind w:firstLineChars="0"/>
        <w:jc w:val="left"/>
        <w:rPr>
          <w:b/>
          <w:szCs w:val="21"/>
        </w:rPr>
      </w:pPr>
      <w:r>
        <w:rPr>
          <w:rFonts w:hint="eastAsia"/>
          <w:b/>
          <w:szCs w:val="21"/>
        </w:rPr>
        <w:t>登录教务管理系统（教师学生端</w:t>
      </w:r>
      <w:r>
        <w:rPr>
          <w:b/>
          <w:szCs w:val="21"/>
        </w:rPr>
        <w:t>）</w:t>
      </w:r>
      <w:r>
        <w:rPr>
          <w:rFonts w:hint="eastAsia"/>
          <w:b/>
          <w:szCs w:val="21"/>
        </w:rPr>
        <w:t>，输入用户名和密码</w:t>
      </w:r>
    </w:p>
    <w:p w14:paraId="5557BAD7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用户名填写学生学号</w:t>
      </w:r>
    </w:p>
    <w:p w14:paraId="20BE2D0E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密码填写自己的登陆密码；</w:t>
      </w:r>
    </w:p>
    <w:p w14:paraId="56C7F91E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b/>
          <w:szCs w:val="21"/>
        </w:rPr>
      </w:pPr>
      <w:r>
        <w:rPr>
          <w:rFonts w:hint="eastAsia"/>
          <w:szCs w:val="21"/>
        </w:rPr>
        <w:t>修改个人登陆密码：</w:t>
      </w:r>
    </w:p>
    <w:p w14:paraId="0379ACB3">
      <w:pPr>
        <w:pStyle w:val="12"/>
        <w:numPr>
          <w:ilvl w:val="2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选课系统密码与“广东财经大学</w:t>
      </w:r>
      <w:r>
        <w:rPr>
          <w:rFonts w:hint="eastAsia"/>
          <w:szCs w:val="21"/>
          <w:lang w:val="en-US" w:eastAsia="zh-CN"/>
        </w:rPr>
        <w:t>融合</w:t>
      </w:r>
      <w:r>
        <w:rPr>
          <w:rFonts w:hint="eastAsia"/>
          <w:szCs w:val="21"/>
        </w:rPr>
        <w:t>门户”系统密码一致，修改密码请前往“广东财经大学</w:t>
      </w:r>
      <w:r>
        <w:rPr>
          <w:rFonts w:hint="eastAsia"/>
          <w:szCs w:val="21"/>
          <w:lang w:val="en-US" w:eastAsia="zh-CN"/>
        </w:rPr>
        <w:t>融合</w:t>
      </w:r>
      <w:r>
        <w:rPr>
          <w:rFonts w:hint="eastAsia"/>
          <w:szCs w:val="21"/>
        </w:rPr>
        <w:t>门户”进行修改。（请各位同学注意，应尽快修改自己的个人初始密码，定时修改密码，防止被其他人偷用密码修改个人课程。如因不修改密码，或者给账号密码给他人代选课，出现课程被退或改选的情况，责任由学生自己承担）</w:t>
      </w:r>
    </w:p>
    <w:p w14:paraId="797F932C">
      <w:pPr>
        <w:pStyle w:val="12"/>
        <w:numPr>
          <w:ilvl w:val="2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若忘记登陆密码，请按照“广东财经大学</w:t>
      </w:r>
      <w:r>
        <w:rPr>
          <w:rFonts w:hint="eastAsia"/>
          <w:szCs w:val="21"/>
          <w:lang w:val="en-US" w:eastAsia="zh-CN"/>
        </w:rPr>
        <w:t>融合</w:t>
      </w:r>
      <w:r>
        <w:rPr>
          <w:rFonts w:hint="eastAsia"/>
          <w:szCs w:val="21"/>
        </w:rPr>
        <w:t>门户”页面的申请密码修改说明办理。</w:t>
      </w:r>
    </w:p>
    <w:p w14:paraId="06817222">
      <w:pPr>
        <w:pStyle w:val="12"/>
        <w:numPr>
          <w:ilvl w:val="0"/>
          <w:numId w:val="1"/>
        </w:numPr>
        <w:spacing w:line="440" w:lineRule="exact"/>
        <w:ind w:firstLineChars="0"/>
        <w:jc w:val="left"/>
        <w:rPr>
          <w:b/>
          <w:szCs w:val="21"/>
        </w:rPr>
      </w:pPr>
      <w:r>
        <w:rPr>
          <w:rFonts w:hint="eastAsia"/>
          <w:b/>
          <w:szCs w:val="21"/>
        </w:rPr>
        <w:t>网上选课</w:t>
      </w:r>
    </w:p>
    <w:p w14:paraId="144F7AD4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登录后进入“选课中心”</w:t>
      </w:r>
    </w:p>
    <w:p w14:paraId="271DE8BF">
      <w:pPr>
        <w:jc w:val="center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drawing>
          <wp:inline distT="0" distB="0" distL="0" distR="0">
            <wp:extent cx="3456940" cy="1689100"/>
            <wp:effectExtent l="19050" t="19050" r="10160" b="2540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" t="4905"/>
                    <a:stretch>
                      <a:fillRect/>
                    </a:stretch>
                  </pic:blipFill>
                  <pic:spPr>
                    <a:xfrm>
                      <a:off x="0" y="0"/>
                      <a:ext cx="3480413" cy="170056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61A5CC6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选择左下角的“学生选课中心”</w:t>
      </w:r>
    </w:p>
    <w:p w14:paraId="351E8A8D">
      <w:pPr>
        <w:jc w:val="center"/>
      </w:pPr>
      <w:r>
        <w:drawing>
          <wp:inline distT="0" distB="0" distL="0" distR="0">
            <wp:extent cx="3147060" cy="1096010"/>
            <wp:effectExtent l="19050" t="19050" r="15240" b="2794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6916" cy="111348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4918C91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点击“进入选课”</w:t>
      </w:r>
    </w:p>
    <w:p w14:paraId="13650C57">
      <w:pPr>
        <w:jc w:val="center"/>
      </w:pPr>
      <w:r>
        <w:drawing>
          <wp:inline distT="0" distB="0" distL="0" distR="0">
            <wp:extent cx="5274310" cy="8978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A95C4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选课主</w:t>
      </w:r>
      <w:r>
        <w:rPr>
          <w:rFonts w:ascii="Arial" w:hAnsi="Arial" w:eastAsia="方正书宋简体" w:cs="Arial"/>
          <w:szCs w:val="21"/>
        </w:rPr>
        <w:t>页面</w:t>
      </w:r>
    </w:p>
    <w:p w14:paraId="0BA1DC16">
      <w:pPr>
        <w:jc w:val="center"/>
      </w:pPr>
      <w:r>
        <w:drawing>
          <wp:inline distT="0" distB="0" distL="0" distR="0">
            <wp:extent cx="4297045" cy="2357120"/>
            <wp:effectExtent l="0" t="0" r="825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313" cy="236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9F3D0">
      <w:r>
        <w:rPr>
          <w:rFonts w:hint="eastAsia"/>
        </w:rPr>
        <w:t>选项卡</w:t>
      </w:r>
      <w:r>
        <w:t>说明：</w:t>
      </w:r>
    </w:p>
    <w:p w14:paraId="4681BAFB">
      <w:pPr>
        <w:pStyle w:val="12"/>
        <w:numPr>
          <w:ilvl w:val="0"/>
          <w:numId w:val="2"/>
        </w:numPr>
        <w:ind w:left="420" w:firstLineChars="0"/>
      </w:pPr>
      <w:r>
        <w:rPr>
          <w:rFonts w:hint="eastAsia"/>
        </w:rPr>
        <w:t>选课学分情况：</w:t>
      </w:r>
      <w:r>
        <w:t>本学期选课各类别学分要求及选课</w:t>
      </w:r>
      <w:r>
        <w:rPr>
          <w:rFonts w:hint="eastAsia"/>
        </w:rPr>
        <w:t>情况</w:t>
      </w:r>
      <w:r>
        <w:t>统计；</w:t>
      </w:r>
    </w:p>
    <w:p w14:paraId="76C39CAF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学科基础课、专业必修课：本专业</w:t>
      </w:r>
      <w:r>
        <w:t>人才培养方案内</w:t>
      </w:r>
      <w:r>
        <w:rPr>
          <w:rFonts w:hint="eastAsia"/>
        </w:rPr>
        <w:t>按</w:t>
      </w:r>
      <w:r>
        <w:t>建议修读学期</w:t>
      </w:r>
      <w:r>
        <w:rPr>
          <w:rFonts w:hint="eastAsia"/>
        </w:rPr>
        <w:t>开设</w:t>
      </w:r>
      <w:r>
        <w:t>的</w:t>
      </w:r>
      <w:r>
        <w:rPr>
          <w:rFonts w:hint="eastAsia"/>
        </w:rPr>
        <w:t>学科基础</w:t>
      </w:r>
      <w:r>
        <w:t>课</w:t>
      </w:r>
      <w:r>
        <w:rPr>
          <w:rFonts w:hint="eastAsia"/>
        </w:rPr>
        <w:t>及</w:t>
      </w:r>
      <w:r>
        <w:t>专业必修课；</w:t>
      </w:r>
    </w:p>
    <w:p w14:paraId="407D65C8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专业选修课：本专业</w:t>
      </w:r>
      <w:r>
        <w:t>人才培养方案内</w:t>
      </w:r>
      <w:r>
        <w:rPr>
          <w:rFonts w:hint="eastAsia"/>
        </w:rPr>
        <w:t>按</w:t>
      </w:r>
      <w:r>
        <w:t>建议修读学期</w:t>
      </w:r>
      <w:r>
        <w:rPr>
          <w:rFonts w:hint="eastAsia"/>
        </w:rPr>
        <w:t>开设</w:t>
      </w:r>
      <w:r>
        <w:t>的专业</w:t>
      </w:r>
      <w:r>
        <w:rPr>
          <w:rFonts w:hint="eastAsia"/>
        </w:rPr>
        <w:t>选</w:t>
      </w:r>
      <w:r>
        <w:t>修课；</w:t>
      </w:r>
    </w:p>
    <w:p w14:paraId="1507F263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通识课：本</w:t>
      </w:r>
      <w:r>
        <w:t>专业人才培养方案</w:t>
      </w:r>
      <w:r>
        <w:rPr>
          <w:rFonts w:hint="eastAsia"/>
        </w:rPr>
        <w:t>内滚动开设</w:t>
      </w:r>
      <w:r>
        <w:t>的通识必修课与通识选修课</w:t>
      </w:r>
      <w:r>
        <w:rPr>
          <w:rFonts w:hint="eastAsia"/>
        </w:rPr>
        <w:t>，</w:t>
      </w:r>
      <w:r>
        <w:t>分</w:t>
      </w:r>
      <w:r>
        <w:rPr>
          <w:rFonts w:hint="eastAsia"/>
        </w:rPr>
        <w:t>类如下</w:t>
      </w:r>
      <w:r>
        <w:t>：</w:t>
      </w:r>
    </w:p>
    <w:p w14:paraId="1D9FFF35">
      <w:pPr>
        <w:pStyle w:val="12"/>
        <w:numPr>
          <w:ilvl w:val="0"/>
          <w:numId w:val="0"/>
        </w:numPr>
        <w:ind w:firstLine="420" w:firstLineChars="200"/>
      </w:pPr>
      <w:r>
        <w:rPr>
          <w:rFonts w:hint="eastAsia"/>
        </w:rPr>
        <w:t>4</w:t>
      </w:r>
      <w:r>
        <w:t>.1</w:t>
      </w:r>
      <w:r>
        <w:rPr>
          <w:rFonts w:hint="eastAsia"/>
        </w:rPr>
        <w:t>通识必修课：</w:t>
      </w:r>
      <w:r>
        <w:t>思政一类、思政二类、综合类、外语类、体育类</w:t>
      </w:r>
    </w:p>
    <w:p w14:paraId="67D51AAA">
      <w:pPr>
        <w:pStyle w:val="12"/>
        <w:numPr>
          <w:ilvl w:val="0"/>
          <w:numId w:val="0"/>
        </w:numPr>
        <w:ind w:leftChars="0" w:firstLine="420" w:firstLineChars="200"/>
        <w:rPr>
          <w:rFonts w:hint="eastAsia"/>
        </w:rPr>
      </w:pPr>
      <w:r>
        <w:rPr>
          <w:rFonts w:hint="eastAsia"/>
        </w:rPr>
        <w:t>4</w:t>
      </w:r>
      <w:r>
        <w:t xml:space="preserve">.2 </w:t>
      </w:r>
      <w:r>
        <w:rPr>
          <w:rFonts w:hint="eastAsia"/>
        </w:rPr>
        <w:t>通识选修课：</w:t>
      </w:r>
      <w:r>
        <w:t>思想与政治、表达与沟通、创新与创业、法治与社会、思维与方法、文学与艺术、运动与健康、自然与科技、湾区视野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人工智能</w:t>
      </w:r>
      <w:r>
        <w:rPr>
          <w:rFonts w:hint="eastAsia"/>
        </w:rPr>
        <w:t>（共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大模块）</w:t>
      </w:r>
    </w:p>
    <w:p w14:paraId="60132264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专业内跨年级课：本专业</w:t>
      </w:r>
      <w:r>
        <w:t>人才培养方案内</w:t>
      </w:r>
      <w:r>
        <w:rPr>
          <w:rFonts w:hint="eastAsia"/>
        </w:rPr>
        <w:t>除按</w:t>
      </w:r>
      <w:r>
        <w:t>建议修读学期</w:t>
      </w:r>
      <w:r>
        <w:rPr>
          <w:rFonts w:hint="eastAsia"/>
        </w:rPr>
        <w:t>开设</w:t>
      </w:r>
      <w:r>
        <w:t>的</w:t>
      </w:r>
      <w:r>
        <w:rPr>
          <w:rFonts w:hint="eastAsia"/>
        </w:rPr>
        <w:t>课程</w:t>
      </w:r>
      <w:r>
        <w:t>；</w:t>
      </w:r>
    </w:p>
    <w:p w14:paraId="2714E7FF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跨专业课：非本专业</w:t>
      </w:r>
      <w:r>
        <w:t>人才培养方案内</w:t>
      </w:r>
      <w:r>
        <w:rPr>
          <w:rFonts w:hint="eastAsia"/>
        </w:rPr>
        <w:t>按开设</w:t>
      </w:r>
      <w:r>
        <w:t>的课</w:t>
      </w:r>
      <w:r>
        <w:rPr>
          <w:rFonts w:hint="eastAsia"/>
        </w:rPr>
        <w:t>程</w:t>
      </w:r>
      <w:r>
        <w:t>；</w:t>
      </w:r>
    </w:p>
    <w:p w14:paraId="0995A8D7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专业内计划课：本专业</w:t>
      </w:r>
      <w:r>
        <w:t>人才培养方案内</w:t>
      </w:r>
      <w:r>
        <w:rPr>
          <w:rFonts w:hint="eastAsia"/>
        </w:rPr>
        <w:t>开设</w:t>
      </w:r>
      <w:r>
        <w:t>的课</w:t>
      </w:r>
      <w:r>
        <w:rPr>
          <w:rFonts w:hint="eastAsia"/>
        </w:rPr>
        <w:t>程。</w:t>
      </w:r>
    </w:p>
    <w:p w14:paraId="62F188D1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选课步骤（以</w:t>
      </w:r>
      <w:r>
        <w:rPr>
          <w:rFonts w:ascii="Arial" w:hAnsi="Arial" w:eastAsia="方正书宋简体" w:cs="Arial"/>
          <w:szCs w:val="21"/>
        </w:rPr>
        <w:t>体育</w:t>
      </w:r>
      <w:r>
        <w:rPr>
          <w:rFonts w:hint="eastAsia" w:ascii="Arial" w:hAnsi="Arial" w:eastAsia="方正书宋简体" w:cs="Arial"/>
          <w:szCs w:val="21"/>
        </w:rPr>
        <w:t>选</w:t>
      </w:r>
      <w:r>
        <w:rPr>
          <w:rFonts w:ascii="Arial" w:hAnsi="Arial" w:eastAsia="方正书宋简体" w:cs="Arial"/>
          <w:szCs w:val="21"/>
        </w:rPr>
        <w:t>课</w:t>
      </w:r>
      <w:r>
        <w:rPr>
          <w:rFonts w:hint="eastAsia" w:ascii="Arial" w:hAnsi="Arial" w:eastAsia="方正书宋简体" w:cs="Arial"/>
          <w:szCs w:val="21"/>
        </w:rPr>
        <w:t>为例</w:t>
      </w:r>
      <w:r>
        <w:rPr>
          <w:rFonts w:ascii="Arial" w:hAnsi="Arial" w:eastAsia="方正书宋简体" w:cs="Arial"/>
          <w:szCs w:val="21"/>
        </w:rPr>
        <w:t>）</w:t>
      </w:r>
    </w:p>
    <w:p w14:paraId="39341A65">
      <w:pPr>
        <w:pStyle w:val="12"/>
        <w:numPr>
          <w:ilvl w:val="2"/>
          <w:numId w:val="1"/>
        </w:numPr>
        <w:ind w:left="1259"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点击</w:t>
      </w:r>
      <w:r>
        <w:rPr>
          <w:rFonts w:ascii="Arial" w:hAnsi="Arial" w:eastAsia="方正书宋简体" w:cs="Arial"/>
          <w:szCs w:val="21"/>
        </w:rPr>
        <w:t>选项卡</w:t>
      </w:r>
      <w:r>
        <w:rPr>
          <w:rFonts w:hint="eastAsia" w:ascii="Arial" w:hAnsi="Arial" w:eastAsia="方正书宋简体" w:cs="Arial"/>
          <w:szCs w:val="21"/>
        </w:rPr>
        <w:t>“通识课”：</w:t>
      </w:r>
    </w:p>
    <w:p w14:paraId="4845FCCB">
      <w:pPr>
        <w:widowControl/>
        <w:jc w:val="center"/>
        <w:rPr>
          <w:rFonts w:ascii="宋体" w:hAnsi="宋体" w:cs="宋体"/>
          <w:kern w:val="0"/>
          <w:sz w:val="24"/>
        </w:rPr>
      </w:pPr>
      <w:r>
        <w:drawing>
          <wp:inline distT="0" distB="0" distL="0" distR="0">
            <wp:extent cx="5454650" cy="1898650"/>
            <wp:effectExtent l="0" t="0" r="0" b="6350"/>
            <wp:docPr id="18" name="图片 18" descr="C:\Users\Administrator\AppData\Roaming\Tencent\Users\2949578\QQ\WinTemp\RichOle\[%C~(Y`K(5SR[5J16DQZZ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istrator\AppData\Roaming\Tencent\Users\2949578\QQ\WinTemp\RichOle\[%C~(Y`K(5SR[5J16DQZZK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0295" cy="191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55D76">
      <w:pPr>
        <w:pStyle w:val="12"/>
        <w:numPr>
          <w:ilvl w:val="2"/>
          <w:numId w:val="1"/>
        </w:numPr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点击</w:t>
      </w:r>
      <w:r>
        <w:rPr>
          <w:rFonts w:ascii="Arial" w:hAnsi="Arial" w:eastAsia="方正书宋简体" w:cs="Arial"/>
          <w:szCs w:val="21"/>
        </w:rPr>
        <w:t>类别下拉菜单，选中</w:t>
      </w:r>
      <w:r>
        <w:rPr>
          <w:rFonts w:hint="eastAsia" w:ascii="Arial" w:hAnsi="Arial" w:eastAsia="方正书宋简体" w:cs="Arial"/>
          <w:szCs w:val="21"/>
        </w:rPr>
        <w:t>“</w:t>
      </w:r>
      <w:r>
        <w:rPr>
          <w:rFonts w:hint="eastAsia"/>
        </w:rPr>
        <w:t>运动</w:t>
      </w:r>
      <w:r>
        <w:t>与健康</w:t>
      </w:r>
      <w:r>
        <w:rPr>
          <w:rFonts w:hint="eastAsia"/>
        </w:rPr>
        <w:t>必修课</w:t>
      </w:r>
      <w:r>
        <w:rPr>
          <w:rFonts w:hint="eastAsia" w:ascii="Arial" w:hAnsi="Arial" w:eastAsia="方正书宋简体" w:cs="Arial"/>
          <w:szCs w:val="21"/>
        </w:rPr>
        <w:t>”，</w:t>
      </w:r>
      <w:r>
        <w:rPr>
          <w:rFonts w:ascii="Arial" w:hAnsi="Arial" w:eastAsia="方正书宋简体" w:cs="Arial"/>
          <w:szCs w:val="21"/>
        </w:rPr>
        <w:t>点击</w:t>
      </w:r>
      <w:r>
        <w:rPr>
          <w:rFonts w:hint="eastAsia" w:ascii="Arial" w:hAnsi="Arial" w:eastAsia="方正书宋简体" w:cs="Arial"/>
          <w:szCs w:val="21"/>
        </w:rPr>
        <w:t>“</w:t>
      </w:r>
      <w:r>
        <w:rPr>
          <w:rFonts w:ascii="Arial" w:hAnsi="Arial" w:eastAsia="方正书宋简体" w:cs="Arial"/>
          <w:szCs w:val="21"/>
        </w:rPr>
        <w:t>查询</w:t>
      </w:r>
      <w:r>
        <w:rPr>
          <w:rFonts w:hint="eastAsia" w:ascii="Arial" w:hAnsi="Arial" w:eastAsia="方正书宋简体" w:cs="Arial"/>
          <w:szCs w:val="21"/>
        </w:rPr>
        <w:t>”</w:t>
      </w:r>
      <w:r>
        <w:rPr>
          <w:rFonts w:ascii="Arial" w:hAnsi="Arial" w:eastAsia="方正书宋简体" w:cs="Arial"/>
          <w:szCs w:val="21"/>
        </w:rPr>
        <w:t>按钮：</w:t>
      </w:r>
    </w:p>
    <w:p w14:paraId="76031AFB">
      <w:pPr>
        <w:jc w:val="center"/>
        <w:rPr>
          <w:rFonts w:ascii="Arial" w:hAnsi="Arial" w:eastAsia="方正书宋简体" w:cs="Arial"/>
          <w:szCs w:val="21"/>
        </w:rPr>
      </w:pPr>
      <w:r>
        <w:drawing>
          <wp:inline distT="0" distB="0" distL="0" distR="0">
            <wp:extent cx="4772660" cy="1327150"/>
            <wp:effectExtent l="0" t="0" r="889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rcRect l="963" t="11773" r="27643" b="57833"/>
                    <a:stretch>
                      <a:fillRect/>
                    </a:stretch>
                  </pic:blipFill>
                  <pic:spPr>
                    <a:xfrm>
                      <a:off x="0" y="0"/>
                      <a:ext cx="4785176" cy="13306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9CD19">
      <w:pPr>
        <w:pStyle w:val="12"/>
        <w:numPr>
          <w:ilvl w:val="2"/>
          <w:numId w:val="1"/>
        </w:numPr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在列出</w:t>
      </w:r>
      <w:r>
        <w:rPr>
          <w:rFonts w:ascii="Arial" w:hAnsi="Arial" w:eastAsia="方正书宋简体" w:cs="Arial"/>
          <w:szCs w:val="21"/>
        </w:rPr>
        <w:t>的体育课中，选择任意的一行点击</w:t>
      </w:r>
      <w:r>
        <w:rPr>
          <w:rFonts w:hint="eastAsia" w:ascii="Arial" w:hAnsi="Arial" w:eastAsia="方正书宋简体" w:cs="Arial"/>
          <w:szCs w:val="21"/>
        </w:rPr>
        <w:t>“</w:t>
      </w:r>
      <w:r>
        <w:rPr>
          <w:rFonts w:ascii="Arial" w:hAnsi="Arial" w:eastAsia="方正书宋简体" w:cs="Arial"/>
          <w:szCs w:val="21"/>
        </w:rPr>
        <w:t>上课老师</w:t>
      </w:r>
      <w:r>
        <w:rPr>
          <w:rFonts w:hint="eastAsia" w:ascii="Arial" w:hAnsi="Arial" w:eastAsia="方正书宋简体" w:cs="Arial"/>
          <w:szCs w:val="21"/>
        </w:rPr>
        <w:t>”</w:t>
      </w:r>
      <w:r>
        <w:rPr>
          <w:rFonts w:ascii="Arial" w:hAnsi="Arial" w:eastAsia="方正书宋简体" w:cs="Arial"/>
          <w:szCs w:val="21"/>
        </w:rPr>
        <w:t>姓名</w:t>
      </w:r>
      <w:r>
        <w:rPr>
          <w:rFonts w:hint="eastAsia" w:ascii="Arial" w:hAnsi="Arial" w:eastAsia="方正书宋简体" w:cs="Arial"/>
          <w:szCs w:val="21"/>
        </w:rPr>
        <w:t>即可</w:t>
      </w:r>
      <w:r>
        <w:rPr>
          <w:rFonts w:ascii="Arial" w:hAnsi="Arial" w:eastAsia="方正书宋简体" w:cs="Arial"/>
          <w:szCs w:val="21"/>
        </w:rPr>
        <w:t>查看老师信息：</w:t>
      </w:r>
    </w:p>
    <w:p w14:paraId="21552278">
      <w:pPr>
        <w:widowControl/>
        <w:jc w:val="center"/>
        <w:rPr>
          <w:rFonts w:ascii="宋体" w:hAnsi="宋体" w:cs="宋体"/>
          <w:kern w:val="0"/>
          <w:sz w:val="24"/>
        </w:rPr>
      </w:pPr>
      <w:r>
        <w:drawing>
          <wp:inline distT="0" distB="0" distL="0" distR="0">
            <wp:extent cx="4759960" cy="1504950"/>
            <wp:effectExtent l="0" t="0" r="2540" b="0"/>
            <wp:docPr id="132" name="图片 132" descr="C:\Users\Administrator\AppData\Roaming\Tencent\Users\2949578\QQ\WinTemp\RichOle\BOF7[S0KH)(2(XN55M~UIM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C:\Users\Administrator\AppData\Roaming\Tencent\Users\2949578\QQ\WinTemp\RichOle\BOF7[S0KH)(2(XN55M~UIMX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9679" cy="152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AD464">
      <w:pPr>
        <w:widowControl/>
        <w:jc w:val="center"/>
        <w:rPr>
          <w:rFonts w:ascii="宋体" w:hAnsi="宋体" w:cs="宋体"/>
          <w:kern w:val="0"/>
          <w:sz w:val="24"/>
        </w:rPr>
      </w:pPr>
      <w:r>
        <w:drawing>
          <wp:inline distT="0" distB="0" distL="0" distR="0">
            <wp:extent cx="3028950" cy="1169035"/>
            <wp:effectExtent l="0" t="0" r="0" b="0"/>
            <wp:docPr id="31" name="图片 31" descr="C:\Users\Administrator\AppData\Roaming\Tencent\Users\2949578\QQ\WinTemp\RichOle\{EZ5HPIAKR6OM(~BB_6C$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Administrator\AppData\Roaming\Tencent\Users\2949578\QQ\WinTemp\RichOle\{EZ5HPIAKR6OM(~BB_6C$8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81" r="14319" b="10048"/>
                    <a:stretch>
                      <a:fillRect/>
                    </a:stretch>
                  </pic:blipFill>
                  <pic:spPr>
                    <a:xfrm>
                      <a:off x="0" y="0"/>
                      <a:ext cx="3073590" cy="11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244B7">
      <w:pPr>
        <w:jc w:val="left"/>
        <w:rPr>
          <w:rFonts w:ascii="Arial" w:hAnsi="Arial" w:eastAsia="方正书宋简体" w:cs="Arial"/>
          <w:szCs w:val="21"/>
        </w:rPr>
      </w:pPr>
    </w:p>
    <w:p w14:paraId="6443E6D0">
      <w:pPr>
        <w:pStyle w:val="12"/>
        <w:numPr>
          <w:ilvl w:val="2"/>
          <w:numId w:val="1"/>
        </w:numPr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通过课程</w:t>
      </w:r>
      <w:r>
        <w:rPr>
          <w:rFonts w:ascii="Arial" w:hAnsi="Arial" w:eastAsia="方正书宋简体" w:cs="Arial"/>
          <w:szCs w:val="21"/>
        </w:rPr>
        <w:t>名称/</w:t>
      </w:r>
      <w:r>
        <w:rPr>
          <w:rFonts w:hint="eastAsia" w:ascii="Arial" w:hAnsi="Arial" w:eastAsia="方正书宋简体" w:cs="Arial"/>
          <w:szCs w:val="21"/>
        </w:rPr>
        <w:t>代码、</w:t>
      </w:r>
      <w:r>
        <w:rPr>
          <w:rFonts w:ascii="Arial" w:hAnsi="Arial" w:eastAsia="方正书宋简体" w:cs="Arial"/>
          <w:szCs w:val="21"/>
        </w:rPr>
        <w:t>上课老师、日期、节次或刷新选课人数</w:t>
      </w:r>
      <w:r>
        <w:rPr>
          <w:rFonts w:hint="eastAsia" w:ascii="Arial" w:hAnsi="Arial" w:eastAsia="方正书宋简体" w:cs="Arial"/>
          <w:szCs w:val="21"/>
        </w:rPr>
        <w:t>等</w:t>
      </w:r>
      <w:r>
        <w:rPr>
          <w:rFonts w:ascii="Arial" w:hAnsi="Arial" w:eastAsia="方正书宋简体" w:cs="Arial"/>
          <w:szCs w:val="21"/>
        </w:rPr>
        <w:t>来</w:t>
      </w:r>
      <w:r>
        <w:rPr>
          <w:rFonts w:hint="eastAsia" w:ascii="Arial" w:hAnsi="Arial" w:eastAsia="方正书宋简体" w:cs="Arial"/>
          <w:szCs w:val="21"/>
        </w:rPr>
        <w:t>筛选</w:t>
      </w:r>
      <w:r>
        <w:rPr>
          <w:rFonts w:ascii="Arial" w:hAnsi="Arial" w:eastAsia="方正书宋简体" w:cs="Arial"/>
          <w:szCs w:val="21"/>
        </w:rPr>
        <w:t>课程</w:t>
      </w:r>
      <w:r>
        <w:rPr>
          <w:rFonts w:hint="eastAsia" w:ascii="Arial" w:hAnsi="Arial" w:eastAsia="方正书宋简体" w:cs="Arial"/>
          <w:szCs w:val="21"/>
        </w:rPr>
        <w:t>：</w:t>
      </w:r>
    </w:p>
    <w:p w14:paraId="494B6011">
      <w:pPr>
        <w:widowControl/>
        <w:jc w:val="center"/>
        <w:rPr>
          <w:rFonts w:ascii="宋体" w:hAnsi="宋体" w:cs="宋体"/>
          <w:kern w:val="0"/>
          <w:sz w:val="24"/>
        </w:rPr>
      </w:pPr>
      <w:r>
        <w:drawing>
          <wp:inline distT="0" distB="0" distL="0" distR="0">
            <wp:extent cx="5175250" cy="1563370"/>
            <wp:effectExtent l="0" t="0" r="6350" b="0"/>
            <wp:docPr id="134" name="图片 134" descr="C:\Users\Administrator\AppData\Roaming\Tencent\Users\2949578\QQ\WinTemp\RichOle\WZ208Z}GSIQQO}K@HFI~2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C:\Users\Administrator\AppData\Roaming\Tencent\Users\2949578\QQ\WinTemp\RichOle\WZ208Z}GSIQQO}K@HFI~24P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8992" cy="157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C931F">
      <w:pPr>
        <w:jc w:val="left"/>
        <w:rPr>
          <w:rFonts w:ascii="Arial" w:hAnsi="Arial" w:eastAsia="方正书宋简体" w:cs="Arial"/>
          <w:szCs w:val="21"/>
        </w:rPr>
      </w:pPr>
    </w:p>
    <w:p w14:paraId="2AA03A95">
      <w:pPr>
        <w:pStyle w:val="12"/>
        <w:numPr>
          <w:ilvl w:val="2"/>
          <w:numId w:val="1"/>
        </w:numPr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确认</w:t>
      </w:r>
      <w:r>
        <w:rPr>
          <w:rFonts w:ascii="Arial" w:hAnsi="Arial" w:eastAsia="方正书宋简体" w:cs="Arial"/>
          <w:szCs w:val="21"/>
        </w:rPr>
        <w:t>要选择的课程后，</w:t>
      </w:r>
      <w:r>
        <w:rPr>
          <w:rFonts w:hint="eastAsia" w:ascii="Arial" w:hAnsi="Arial" w:eastAsia="方正书宋简体" w:cs="Arial"/>
          <w:szCs w:val="21"/>
        </w:rPr>
        <w:t>点击</w:t>
      </w:r>
      <w:r>
        <w:rPr>
          <w:rFonts w:ascii="Arial" w:hAnsi="Arial" w:eastAsia="方正书宋简体" w:cs="Arial"/>
          <w:szCs w:val="21"/>
        </w:rPr>
        <w:t>课程</w:t>
      </w:r>
      <w:r>
        <w:rPr>
          <w:rFonts w:hint="eastAsia" w:ascii="Arial" w:hAnsi="Arial" w:eastAsia="方正书宋简体" w:cs="Arial"/>
          <w:szCs w:val="21"/>
        </w:rPr>
        <w:t>列表</w:t>
      </w:r>
      <w:r>
        <w:rPr>
          <w:rFonts w:ascii="Arial" w:hAnsi="Arial" w:eastAsia="方正书宋简体" w:cs="Arial"/>
          <w:szCs w:val="21"/>
        </w:rPr>
        <w:t>最右的</w:t>
      </w:r>
      <w:r>
        <w:rPr>
          <w:rFonts w:hint="eastAsia" w:ascii="Arial" w:hAnsi="Arial" w:eastAsia="方正书宋简体" w:cs="Arial"/>
          <w:szCs w:val="21"/>
        </w:rPr>
        <w:t>“</w:t>
      </w:r>
      <w:r>
        <w:rPr>
          <w:rFonts w:ascii="Arial" w:hAnsi="Arial" w:eastAsia="方正书宋简体" w:cs="Arial"/>
          <w:szCs w:val="21"/>
        </w:rPr>
        <w:t>选课</w:t>
      </w:r>
      <w:r>
        <w:rPr>
          <w:rFonts w:hint="eastAsia" w:ascii="Arial" w:hAnsi="Arial" w:eastAsia="方正书宋简体" w:cs="Arial"/>
          <w:szCs w:val="21"/>
        </w:rPr>
        <w:t>”</w:t>
      </w:r>
      <w:r>
        <w:rPr>
          <w:rFonts w:ascii="Arial" w:hAnsi="Arial" w:eastAsia="方正书宋简体" w:cs="Arial"/>
          <w:szCs w:val="21"/>
        </w:rPr>
        <w:t>操作项，</w:t>
      </w:r>
      <w:r>
        <w:rPr>
          <w:rFonts w:hint="eastAsia" w:ascii="Arial" w:hAnsi="Arial" w:eastAsia="方正书宋简体" w:cs="Arial"/>
          <w:szCs w:val="21"/>
        </w:rPr>
        <w:t>弹出对话框，</w:t>
      </w:r>
      <w:r>
        <w:rPr>
          <w:rFonts w:ascii="Arial" w:hAnsi="Arial" w:eastAsia="方正书宋简体" w:cs="Arial"/>
          <w:szCs w:val="21"/>
        </w:rPr>
        <w:t>设置为</w:t>
      </w:r>
      <w:r>
        <w:rPr>
          <w:rFonts w:hint="eastAsia" w:ascii="Arial" w:hAnsi="Arial" w:eastAsia="方正书宋简体" w:cs="Arial"/>
          <w:szCs w:val="21"/>
        </w:rPr>
        <w:t>“</w:t>
      </w:r>
      <w:r>
        <w:rPr>
          <w:rFonts w:ascii="Arial" w:hAnsi="Arial" w:eastAsia="方正书宋简体" w:cs="Arial"/>
          <w:szCs w:val="21"/>
        </w:rPr>
        <w:t>第一志愿</w:t>
      </w:r>
      <w:r>
        <w:rPr>
          <w:rFonts w:hint="eastAsia" w:ascii="Arial" w:hAnsi="Arial" w:eastAsia="方正书宋简体" w:cs="Arial"/>
          <w:szCs w:val="21"/>
        </w:rPr>
        <w:t>”，点击“确定”按钮，确定选择当前课程班级为</w:t>
      </w:r>
      <w:r>
        <w:rPr>
          <w:rFonts w:ascii="Arial" w:hAnsi="Arial" w:eastAsia="方正书宋简体" w:cs="Arial"/>
          <w:szCs w:val="21"/>
        </w:rPr>
        <w:t>体育课</w:t>
      </w:r>
      <w:r>
        <w:rPr>
          <w:rFonts w:hint="eastAsia" w:ascii="Arial" w:hAnsi="Arial" w:eastAsia="方正书宋简体" w:cs="Arial"/>
          <w:szCs w:val="21"/>
        </w:rPr>
        <w:t>“</w:t>
      </w:r>
      <w:r>
        <w:rPr>
          <w:rFonts w:ascii="Arial" w:hAnsi="Arial" w:eastAsia="方正书宋简体" w:cs="Arial"/>
          <w:szCs w:val="21"/>
        </w:rPr>
        <w:t>第一志愿</w:t>
      </w:r>
      <w:r>
        <w:rPr>
          <w:rFonts w:hint="eastAsia" w:ascii="Arial" w:hAnsi="Arial" w:eastAsia="方正书宋简体" w:cs="Arial"/>
          <w:szCs w:val="21"/>
        </w:rPr>
        <w:t>”选课</w:t>
      </w:r>
      <w:r>
        <w:rPr>
          <w:rFonts w:ascii="Arial" w:hAnsi="Arial" w:eastAsia="方正书宋简体" w:cs="Arial"/>
          <w:szCs w:val="21"/>
        </w:rPr>
        <w:t>：</w:t>
      </w:r>
    </w:p>
    <w:p w14:paraId="48BBF803">
      <w:pPr>
        <w:jc w:val="center"/>
        <w:rPr>
          <w:rFonts w:ascii="Arial" w:hAnsi="Arial" w:eastAsia="方正书宋简体" w:cs="Arial"/>
          <w:szCs w:val="21"/>
        </w:rPr>
      </w:pPr>
      <w:r>
        <w:drawing>
          <wp:inline distT="0" distB="0" distL="0" distR="0">
            <wp:extent cx="4997450" cy="18732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7"/>
                    <a:srcRect l="1926" t="12415" r="3323" b="31292"/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1873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E64EB">
      <w:pPr>
        <w:pStyle w:val="12"/>
        <w:numPr>
          <w:ilvl w:val="0"/>
          <w:numId w:val="3"/>
        </w:numPr>
        <w:ind w:firstLineChars="0"/>
        <w:jc w:val="left"/>
        <w:rPr>
          <w:rFonts w:ascii="Arial" w:hAnsi="Arial" w:eastAsia="方正书宋简体" w:cs="Arial"/>
          <w:szCs w:val="21"/>
        </w:rPr>
      </w:pPr>
      <w:r>
        <w:rPr>
          <w:rFonts w:hint="eastAsia" w:ascii="Arial" w:hAnsi="Arial" w:eastAsia="方正书宋简体" w:cs="Arial"/>
          <w:szCs w:val="21"/>
        </w:rPr>
        <w:t>选课</w:t>
      </w:r>
      <w:r>
        <w:rPr>
          <w:rFonts w:ascii="Arial" w:hAnsi="Arial" w:eastAsia="方正书宋简体" w:cs="Arial"/>
          <w:szCs w:val="21"/>
        </w:rPr>
        <w:t>成功，下方课表显示绿色（</w:t>
      </w:r>
      <w:r>
        <w:rPr>
          <w:rFonts w:hint="eastAsia" w:ascii="Arial" w:hAnsi="Arial" w:eastAsia="方正书宋简体" w:cs="Arial"/>
          <w:szCs w:val="21"/>
        </w:rPr>
        <w:t>待定</w:t>
      </w:r>
      <w:r>
        <w:rPr>
          <w:rFonts w:ascii="Arial" w:hAnsi="Arial" w:eastAsia="方正书宋简体" w:cs="Arial"/>
          <w:szCs w:val="21"/>
        </w:rPr>
        <w:t>）</w:t>
      </w:r>
      <w:r>
        <w:rPr>
          <w:rFonts w:hint="eastAsia" w:ascii="Arial" w:hAnsi="Arial" w:eastAsia="方正书宋简体" w:cs="Arial"/>
          <w:szCs w:val="21"/>
        </w:rPr>
        <w:t>的</w:t>
      </w:r>
      <w:r>
        <w:rPr>
          <w:rFonts w:ascii="Arial" w:hAnsi="Arial" w:eastAsia="方正书宋简体" w:cs="Arial"/>
          <w:szCs w:val="21"/>
        </w:rPr>
        <w:t>第一志愿体育课：</w:t>
      </w:r>
    </w:p>
    <w:p w14:paraId="22FFBC22">
      <w:pPr>
        <w:widowControl/>
        <w:jc w:val="center"/>
        <w:rPr>
          <w:rFonts w:ascii="宋体" w:hAnsi="宋体" w:cs="宋体"/>
          <w:kern w:val="0"/>
          <w:sz w:val="24"/>
        </w:rPr>
      </w:pPr>
    </w:p>
    <w:p w14:paraId="39385487">
      <w:pPr>
        <w:pStyle w:val="12"/>
        <w:numPr>
          <w:ilvl w:val="0"/>
          <w:numId w:val="1"/>
        </w:numPr>
        <w:spacing w:line="440" w:lineRule="exact"/>
        <w:ind w:firstLineChars="0"/>
        <w:jc w:val="left"/>
        <w:rPr>
          <w:b/>
          <w:szCs w:val="21"/>
        </w:rPr>
      </w:pPr>
      <w:r>
        <w:rPr>
          <w:rFonts w:hint="eastAsia"/>
          <w:b/>
          <w:szCs w:val="21"/>
        </w:rPr>
        <w:t>查看选课结果及退选</w:t>
      </w:r>
    </w:p>
    <w:p w14:paraId="301A5DE8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在选完课程之后，务必确认是否选课成功，方式有如下几种：</w:t>
      </w:r>
    </w:p>
    <w:p w14:paraId="7767E050">
      <w:pPr>
        <w:pStyle w:val="12"/>
        <w:numPr>
          <w:ilvl w:val="2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在该页面右方点击“选课结果查看及退选”，即可查看已选到的相应课程；</w:t>
      </w:r>
    </w:p>
    <w:p w14:paraId="06C5490E">
      <w:pPr>
        <w:pStyle w:val="12"/>
        <w:numPr>
          <w:ilvl w:val="2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点击查看选课课表。</w:t>
      </w:r>
    </w:p>
    <w:p w14:paraId="2C1B330A">
      <w:pPr>
        <w:jc w:val="left"/>
        <w:rPr>
          <w:szCs w:val="21"/>
        </w:rPr>
      </w:pPr>
      <w:r>
        <w:drawing>
          <wp:inline distT="0" distB="0" distL="0" distR="0">
            <wp:extent cx="5223510" cy="1179195"/>
            <wp:effectExtent l="0" t="0" r="0" b="1905"/>
            <wp:docPr id="25" name="图片 25" descr="C:\Users\Administrator\AppData\Roaming\Tencent\Users\2949578\QQ\WinTemp\RichOle\XW6L28HY5S{SB55G0FGV~I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Administrator\AppData\Roaming\Tencent\Users\2949578\QQ\WinTemp\RichOle\XW6L28HY5S{SB55G0FGV~I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304" cy="119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17238">
      <w:pPr>
        <w:pStyle w:val="12"/>
        <w:numPr>
          <w:ilvl w:val="1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如需退选相应的课程，在该页面右下方点击“选课结果查看及退选”，相应的课程后面点击“退选”按钮。</w:t>
      </w:r>
    </w:p>
    <w:p w14:paraId="2EA11668">
      <w:pPr>
        <w:pStyle w:val="12"/>
        <w:numPr>
          <w:ilvl w:val="2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点击该按钮后会弹出相应对话框，如需退选则点击“确定”按钮；</w:t>
      </w:r>
    </w:p>
    <w:p w14:paraId="757959C3">
      <w:pPr>
        <w:pStyle w:val="12"/>
        <w:numPr>
          <w:ilvl w:val="2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点击确定后会再弹出相应对话框，点击确定，退选成功；</w:t>
      </w:r>
    </w:p>
    <w:p w14:paraId="037D037E">
      <w:pPr>
        <w:pStyle w:val="12"/>
        <w:numPr>
          <w:ilvl w:val="2"/>
          <w:numId w:val="1"/>
        </w:numPr>
        <w:spacing w:line="44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查看“选课结果查看及退选”部分，已退选课程则不会在该部分出现。</w:t>
      </w:r>
    </w:p>
    <w:p w14:paraId="5DCBD3C0">
      <w:r>
        <w:drawing>
          <wp:inline distT="0" distB="0" distL="0" distR="0">
            <wp:extent cx="5406390" cy="1117600"/>
            <wp:effectExtent l="19050" t="19050" r="22860" b="2540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8058" cy="11200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0A9DD6">
      <w:pPr>
        <w:jc w:val="center"/>
      </w:pPr>
      <w:r>
        <w:drawing>
          <wp:inline distT="0" distB="0" distL="0" distR="0">
            <wp:extent cx="3257550" cy="1116330"/>
            <wp:effectExtent l="19050" t="19050" r="19050" b="2667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1751" cy="11350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29CB7A">
      <w:pPr>
        <w:jc w:val="center"/>
      </w:pPr>
      <w:r>
        <w:drawing>
          <wp:inline distT="0" distB="0" distL="0" distR="0">
            <wp:extent cx="3545205" cy="1079500"/>
            <wp:effectExtent l="19050" t="19050" r="17145" b="2540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7212" cy="10860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92FDF1">
      <w:pPr>
        <w:rPr>
          <w:b/>
        </w:rPr>
      </w:pPr>
    </w:p>
    <w:p w14:paraId="285E295C">
      <w:pPr>
        <w:pStyle w:val="12"/>
        <w:numPr>
          <w:ilvl w:val="0"/>
          <w:numId w:val="1"/>
        </w:numPr>
        <w:spacing w:line="440" w:lineRule="exact"/>
        <w:ind w:firstLineChars="0"/>
        <w:jc w:val="left"/>
        <w:rPr>
          <w:b/>
          <w:szCs w:val="21"/>
        </w:rPr>
      </w:pPr>
      <w:r>
        <w:rPr>
          <w:rFonts w:hint="eastAsia"/>
          <w:b/>
          <w:szCs w:val="21"/>
        </w:rPr>
        <w:t>退出系统</w:t>
      </w:r>
    </w:p>
    <w:p w14:paraId="223A4C7A">
      <w:r>
        <w:rPr>
          <w:rFonts w:hint="eastAsia"/>
        </w:rPr>
        <w:t xml:space="preserve">    </w:t>
      </w:r>
      <w:r>
        <w:drawing>
          <wp:inline distT="0" distB="0" distL="0" distR="0">
            <wp:extent cx="5274310" cy="5397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B91BB">
      <w:pPr>
        <w:spacing w:line="380" w:lineRule="exact"/>
        <w:ind w:firstLine="435"/>
      </w:pPr>
      <w:r>
        <w:rPr>
          <w:rFonts w:hint="eastAsia"/>
        </w:rPr>
        <w:t>请同学们切勿直接关闭浏览器，请务必要点击“安全退出”，在公共场所下要注意保存好自己的账号和密码，并在离开电脑之前退出系统，以防被他人篡改选课信息或个人信息，否则后果自负。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文鼎书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246C3">
    <w:pPr>
      <w:pStyle w:val="3"/>
      <w:jc w:val="center"/>
    </w:pPr>
  </w:p>
  <w:p w14:paraId="4DF8B88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30770734"/>
      <w:docPartObj>
        <w:docPartGallery w:val="autotext"/>
      </w:docPartObj>
    </w:sdtPr>
    <w:sdtContent>
      <w:p w14:paraId="162A18A6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2E94D61C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7A0887"/>
    <w:multiLevelType w:val="multilevel"/>
    <w:tmpl w:val="037A0887"/>
    <w:lvl w:ilvl="0" w:tentative="0">
      <w:start w:val="1"/>
      <w:numFmt w:val="lowerRoman"/>
      <w:lvlText w:val="%1."/>
      <w:lvlJc w:val="righ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9D6562E"/>
    <w:multiLevelType w:val="multilevel"/>
    <w:tmpl w:val="49D6562E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6D0479DB"/>
    <w:multiLevelType w:val="multilevel"/>
    <w:tmpl w:val="6D0479D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hOWM1OGFhYWFmZjkzZThlMDE1NGYxNWVlZDM2ODEifQ=="/>
  </w:docVars>
  <w:rsids>
    <w:rsidRoot w:val="00A53AF8"/>
    <w:rsid w:val="000007A5"/>
    <w:rsid w:val="00014DE1"/>
    <w:rsid w:val="00016959"/>
    <w:rsid w:val="000408C5"/>
    <w:rsid w:val="0004602B"/>
    <w:rsid w:val="00070301"/>
    <w:rsid w:val="000F22B0"/>
    <w:rsid w:val="001154E8"/>
    <w:rsid w:val="00134EC2"/>
    <w:rsid w:val="00135157"/>
    <w:rsid w:val="00194133"/>
    <w:rsid w:val="001A271C"/>
    <w:rsid w:val="00202135"/>
    <w:rsid w:val="00270FE3"/>
    <w:rsid w:val="00271D7F"/>
    <w:rsid w:val="002D69C7"/>
    <w:rsid w:val="00321D07"/>
    <w:rsid w:val="003576B8"/>
    <w:rsid w:val="003B7C13"/>
    <w:rsid w:val="003C247D"/>
    <w:rsid w:val="00400BFE"/>
    <w:rsid w:val="00406135"/>
    <w:rsid w:val="0045083C"/>
    <w:rsid w:val="004D02C0"/>
    <w:rsid w:val="004E1CA5"/>
    <w:rsid w:val="004E2FE4"/>
    <w:rsid w:val="005163FC"/>
    <w:rsid w:val="005416EB"/>
    <w:rsid w:val="005652E5"/>
    <w:rsid w:val="00590A8A"/>
    <w:rsid w:val="005B49BB"/>
    <w:rsid w:val="005D20DC"/>
    <w:rsid w:val="00661043"/>
    <w:rsid w:val="00673DF1"/>
    <w:rsid w:val="007778F6"/>
    <w:rsid w:val="007D1A88"/>
    <w:rsid w:val="00832715"/>
    <w:rsid w:val="00882E2B"/>
    <w:rsid w:val="00890DCD"/>
    <w:rsid w:val="0089199E"/>
    <w:rsid w:val="009670F4"/>
    <w:rsid w:val="00982848"/>
    <w:rsid w:val="009D077E"/>
    <w:rsid w:val="009E061E"/>
    <w:rsid w:val="00A0360A"/>
    <w:rsid w:val="00A16DBA"/>
    <w:rsid w:val="00A311CF"/>
    <w:rsid w:val="00A53AF8"/>
    <w:rsid w:val="00A84A1D"/>
    <w:rsid w:val="00AD48D8"/>
    <w:rsid w:val="00AD79E7"/>
    <w:rsid w:val="00AF31F3"/>
    <w:rsid w:val="00B00EB6"/>
    <w:rsid w:val="00BC3762"/>
    <w:rsid w:val="00CF4BA0"/>
    <w:rsid w:val="00D02F56"/>
    <w:rsid w:val="00D347E8"/>
    <w:rsid w:val="00D438AE"/>
    <w:rsid w:val="00D54464"/>
    <w:rsid w:val="00D8110B"/>
    <w:rsid w:val="00D91613"/>
    <w:rsid w:val="00DE422C"/>
    <w:rsid w:val="00E13B2A"/>
    <w:rsid w:val="00E45B10"/>
    <w:rsid w:val="00E523BC"/>
    <w:rsid w:val="00E52546"/>
    <w:rsid w:val="00E66964"/>
    <w:rsid w:val="00EA3F28"/>
    <w:rsid w:val="00EA7F59"/>
    <w:rsid w:val="00EC6E1C"/>
    <w:rsid w:val="00EE34D9"/>
    <w:rsid w:val="00F646FD"/>
    <w:rsid w:val="00F72E58"/>
    <w:rsid w:val="00F87970"/>
    <w:rsid w:val="00F9242E"/>
    <w:rsid w:val="00FA385F"/>
    <w:rsid w:val="00FF0EEF"/>
    <w:rsid w:val="00FF655F"/>
    <w:rsid w:val="237F5B43"/>
    <w:rsid w:val="2CDD72C4"/>
    <w:rsid w:val="3CBD701F"/>
    <w:rsid w:val="3D076E7E"/>
    <w:rsid w:val="5A52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3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9">
    <w:name w:val="内文"/>
    <w:qFormat/>
    <w:uiPriority w:val="0"/>
    <w:pPr>
      <w:spacing w:line="400" w:lineRule="exact"/>
      <w:ind w:firstLine="420"/>
      <w:jc w:val="both"/>
    </w:pPr>
    <w:rPr>
      <w:rFonts w:ascii="Times New Roman" w:hAnsi="Times New Roman" w:eastAsia="文鼎书宋简" w:cs="Times New Roman"/>
      <w:bCs/>
      <w:kern w:val="0"/>
      <w:sz w:val="21"/>
      <w:szCs w:val="20"/>
      <w:lang w:val="en-US" w:eastAsia="zh-CN" w:bidi="ar-SA"/>
    </w:r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HTML 预设格式 字符"/>
    <w:basedOn w:val="7"/>
    <w:link w:val="5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hyperlink" Target="http://jwxt.gdufe.edu.cn/jsxsd/" TargetMode="Externa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1185</Words>
  <Characters>1219</Characters>
  <Lines>9</Lines>
  <Paragraphs>2</Paragraphs>
  <TotalTime>229</TotalTime>
  <ScaleCrop>false</ScaleCrop>
  <LinksUpToDate>false</LinksUpToDate>
  <CharactersWithSpaces>1224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2016-09-02T08:19:00Z</dcterms:created>
  <dc:creator>微软用户</dc:creator>
  <cp:lastModifiedBy>王微</cp:lastModifiedBy>
  <cp:lastPrinted>2016-09-02T12:57:00Z</cp:lastPrinted>
  <dcterms:modified xsi:type="dcterms:W3CDTF">2026-09-03T06:53:18Z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9CE4029CB4734AFEAA6867A66E598DB5_12</vt:lpwstr>
  </property>
  <property fmtid="{D5CDD505-2E9C-101B-9397-08002B2CF9AE}" pid="4" name="KSOTemplateDocerSaveRecord">
    <vt:lpwstr>eyJoZGlkIjoiYTViODBhYWFiZDZiNDQ3MDgzMjA5NmQ0MWE3NzBjYjIiLCJ1c2VySWQiOiIxNjk3OTY1NTQ2In0=</vt:lpwstr>
  </property>
</Properties>
</file>