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华文中宋" w:hAnsi="华文中宋" w:eastAsia="华文中宋"/>
          <w:b/>
          <w:sz w:val="44"/>
          <w:szCs w:val="44"/>
        </w:rPr>
      </w:pPr>
    </w:p>
    <w:p>
      <w:pPr>
        <w:spacing w:line="500" w:lineRule="exact"/>
        <w:jc w:val="center"/>
        <w:outlineLvl w:val="0"/>
        <w:rPr>
          <w:rFonts w:ascii="华文中宋" w:hAnsi="华文中宋" w:eastAsia="华文中宋"/>
          <w:b/>
          <w:sz w:val="44"/>
          <w:szCs w:val="44"/>
        </w:rPr>
      </w:pPr>
      <w:r>
        <w:rPr>
          <w:rFonts w:hint="eastAsia" w:ascii="华文中宋" w:hAnsi="华文中宋" w:eastAsia="华文中宋"/>
          <w:b/>
          <w:sz w:val="44"/>
          <w:szCs w:val="44"/>
        </w:rPr>
        <w:t>广东财经大学省级示范学校建设总结报告</w:t>
      </w:r>
    </w:p>
    <w:p>
      <w:pPr>
        <w:spacing w:line="500" w:lineRule="exact"/>
        <w:ind w:firstLine="560" w:firstLineChars="200"/>
        <w:rPr>
          <w:rFonts w:ascii="仿宋_GB2312" w:eastAsia="仿宋_GB2312"/>
          <w:sz w:val="28"/>
          <w:szCs w:val="28"/>
        </w:rPr>
      </w:pPr>
    </w:p>
    <w:p>
      <w:pPr>
        <w:spacing w:line="500" w:lineRule="exact"/>
        <w:ind w:firstLine="560" w:firstLineChars="200"/>
        <w:rPr>
          <w:rFonts w:ascii="仿宋_GB2312" w:eastAsia="仿宋_GB2312"/>
          <w:sz w:val="28"/>
          <w:szCs w:val="28"/>
        </w:rPr>
      </w:pPr>
      <w:r>
        <w:rPr>
          <w:rFonts w:hint="eastAsia" w:ascii="仿宋_GB2312" w:eastAsia="仿宋_GB2312"/>
          <w:sz w:val="28"/>
          <w:szCs w:val="28"/>
        </w:rPr>
        <w:t>广东财经大学自2015年获广东省大学生创新创业教育示范学校以来，深入贯彻落实国家和广东省关于深化创新创业教育改革的各项要求，积极发挥创新创业教育的示范引领作用，现将近年工作总结汇报如下。</w:t>
      </w:r>
    </w:p>
    <w:p>
      <w:pPr>
        <w:spacing w:line="500" w:lineRule="exact"/>
        <w:ind w:firstLine="596" w:firstLineChars="198"/>
        <w:outlineLvl w:val="0"/>
        <w:rPr>
          <w:rFonts w:ascii="仿宋_GB2312" w:hAnsi="宋体" w:eastAsia="仿宋_GB2312" w:cs="宋体"/>
          <w:b/>
          <w:kern w:val="0"/>
          <w:sz w:val="30"/>
          <w:szCs w:val="30"/>
        </w:rPr>
      </w:pPr>
      <w:r>
        <w:rPr>
          <w:rFonts w:hint="eastAsia" w:ascii="仿宋_GB2312" w:hAnsi="宋体" w:eastAsia="仿宋_GB2312" w:cs="宋体"/>
          <w:b/>
          <w:kern w:val="0"/>
          <w:sz w:val="30"/>
          <w:szCs w:val="30"/>
        </w:rPr>
        <w:t>一、组织管理与保障机制</w:t>
      </w:r>
    </w:p>
    <w:p>
      <w:pPr>
        <w:spacing w:line="500" w:lineRule="exact"/>
        <w:ind w:firstLine="562" w:firstLineChars="200"/>
        <w:jc w:val="left"/>
        <w:outlineLvl w:val="1"/>
        <w:rPr>
          <w:rFonts w:ascii="仿宋_GB2312" w:hAnsi="宋体" w:eastAsia="仿宋_GB2312" w:cs="宋体"/>
          <w:kern w:val="0"/>
          <w:sz w:val="28"/>
          <w:szCs w:val="28"/>
        </w:rPr>
      </w:pPr>
      <w:r>
        <w:rPr>
          <w:rFonts w:hint="eastAsia" w:ascii="仿宋_GB2312" w:hAnsi="宋体" w:eastAsia="仿宋_GB2312"/>
          <w:b/>
          <w:kern w:val="0"/>
          <w:sz w:val="28"/>
          <w:szCs w:val="28"/>
        </w:rPr>
        <w:t>1. 领导体制</w:t>
      </w:r>
    </w:p>
    <w:p>
      <w:pPr>
        <w:spacing w:line="500" w:lineRule="exact"/>
        <w:ind w:firstLine="560" w:firstLineChars="200"/>
        <w:jc w:val="left"/>
        <w:rPr>
          <w:rFonts w:ascii="仿宋_GB2312" w:hAnsi="宋体" w:eastAsia="仿宋_GB2312" w:cs="宋体"/>
          <w:kern w:val="0"/>
          <w:sz w:val="28"/>
          <w:szCs w:val="28"/>
        </w:rPr>
      </w:pPr>
      <w:r>
        <w:rPr>
          <w:rFonts w:hint="eastAsia" w:ascii="仿宋_GB2312" w:hAnsi="宋体" w:eastAsia="仿宋_GB2312"/>
          <w:kern w:val="0"/>
          <w:sz w:val="28"/>
          <w:szCs w:val="28"/>
        </w:rPr>
        <w:t>实施创新创业教育“一把手”工程，成立广东财经大学深化创新创业教育改革领导小组。校长与书记分别担任广东财经大学深化创新创业教育改革领导小组组长，分管本科教学和创新创业教育的副校长担任常务副组长，领导小组下设工作办公室，挂靠教务处，由教务处处长任办公室主任，创业教育学院院长任常务副主任。学校每两周召开一次教学工作会议，定期部署创新创业教育相关工作。</w:t>
      </w:r>
    </w:p>
    <w:p>
      <w:pPr>
        <w:spacing w:line="500" w:lineRule="exact"/>
        <w:ind w:firstLine="562" w:firstLineChars="200"/>
        <w:outlineLvl w:val="1"/>
        <w:rPr>
          <w:rFonts w:ascii="仿宋_GB2312" w:hAnsi="仿宋" w:eastAsia="仿宋_GB2312"/>
          <w:b/>
          <w:kern w:val="0"/>
          <w:sz w:val="28"/>
          <w:szCs w:val="28"/>
        </w:rPr>
      </w:pPr>
      <w:r>
        <w:rPr>
          <w:rFonts w:hint="eastAsia" w:ascii="仿宋_GB2312" w:hAnsi="宋体" w:eastAsia="仿宋_GB2312"/>
          <w:b/>
          <w:kern w:val="0"/>
          <w:sz w:val="28"/>
          <w:szCs w:val="28"/>
        </w:rPr>
        <w:t>2.</w:t>
      </w:r>
      <w:r>
        <w:rPr>
          <w:rFonts w:hint="eastAsia" w:ascii="仿宋_GB2312" w:hAnsi="仿宋" w:eastAsia="仿宋_GB2312"/>
          <w:b/>
          <w:kern w:val="0"/>
          <w:sz w:val="28"/>
          <w:szCs w:val="28"/>
        </w:rPr>
        <w:t>发展规划</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2016年出台《广东财经大学“十三五”创新创业教育改革实施方案》并向省教育厅备案；2017年出台《广东财经大学“十三五”事业发展规划》，对创新创业教育提出明确的规划建设指标；2018年出台《广东财经大学创新创业教育改革行动计划（2018-2020年）》，确定未来三年具体改革与建设任务。</w:t>
      </w:r>
    </w:p>
    <w:p>
      <w:pPr>
        <w:spacing w:line="500" w:lineRule="exact"/>
        <w:ind w:firstLine="562" w:firstLineChars="200"/>
        <w:outlineLvl w:val="1"/>
        <w:rPr>
          <w:rFonts w:ascii="仿宋_GB2312" w:hAnsi="仿宋" w:eastAsia="仿宋_GB2312"/>
          <w:kern w:val="0"/>
          <w:sz w:val="28"/>
          <w:szCs w:val="28"/>
        </w:rPr>
      </w:pPr>
      <w:r>
        <w:rPr>
          <w:rFonts w:hint="eastAsia" w:ascii="仿宋_GB2312" w:hAnsi="仿宋" w:eastAsia="仿宋_GB2312"/>
          <w:b/>
          <w:kern w:val="0"/>
          <w:sz w:val="28"/>
          <w:szCs w:val="28"/>
        </w:rPr>
        <w:t>3.工作机构</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学校于2008年成立“具有企业家精神和潜质的经济管理人才培养模式创新实验区”，2009年，该实验区成为国家级人才培养模式创新实验区，2012年以实验区建设成果为基础，成立实体运行的创业教育学院（与国家级人才培养模式创新实验区合署办公），院长兼任教务处副处长。</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创业教育学院独立建制，实体运行，下设工商管理（创业管理方向）系和创业投资系。创业教育学院（国家级人才培养模式创新实验区）每年校内遴选50-100人独立开班。入选学生脱离现有专业进入实验区学习，毕业获管理学学士学位。目前学院现有教职工18人，其中专任教师12人、专职行政人员人。专任教师中特聘教授1人，教授2人，副教授2人，具有博士学位专任教师9人，攻读博士学位1人，专任教师中具有博士学位的比例达到75%。</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教务处下设“实践与创业教育”科，协同创业教育学院、学工部、团委、招生就业处统和各教学单位开展全校创新创业教育建设与管理工作。</w:t>
      </w:r>
    </w:p>
    <w:p>
      <w:pPr>
        <w:spacing w:line="500" w:lineRule="exact"/>
        <w:ind w:firstLine="562" w:firstLineChars="200"/>
        <w:outlineLvl w:val="1"/>
        <w:rPr>
          <w:rFonts w:ascii="仿宋_GB2312" w:hAnsi="仿宋" w:eastAsia="仿宋_GB2312"/>
          <w:b/>
          <w:color w:val="000000" w:themeColor="text1"/>
          <w:kern w:val="0"/>
          <w:sz w:val="28"/>
          <w:szCs w:val="28"/>
          <w14:textFill>
            <w14:solidFill>
              <w14:schemeClr w14:val="tx1"/>
            </w14:solidFill>
          </w14:textFill>
        </w:rPr>
      </w:pPr>
      <w:r>
        <w:rPr>
          <w:rFonts w:hint="eastAsia" w:ascii="仿宋_GB2312" w:hAnsi="仿宋" w:eastAsia="仿宋_GB2312"/>
          <w:b/>
          <w:color w:val="000000" w:themeColor="text1"/>
          <w:kern w:val="0"/>
          <w:sz w:val="28"/>
          <w:szCs w:val="28"/>
          <w14:textFill>
            <w14:solidFill>
              <w14:schemeClr w14:val="tx1"/>
            </w14:solidFill>
          </w14:textFill>
        </w:rPr>
        <w:t>4.经费保障</w:t>
      </w:r>
    </w:p>
    <w:p>
      <w:pPr>
        <w:spacing w:line="500" w:lineRule="exact"/>
        <w:ind w:firstLine="560" w:firstLineChars="200"/>
        <w:rPr>
          <w:rFonts w:ascii="仿宋_GB2312" w:hAnsi="仿宋" w:eastAsia="仿宋_GB2312"/>
          <w:kern w:val="0"/>
          <w:sz w:val="28"/>
          <w:szCs w:val="28"/>
        </w:rPr>
      </w:pPr>
      <w:r>
        <w:rPr>
          <w:rFonts w:ascii="仿宋_GB2312" w:hAnsi="仿宋" w:eastAsia="仿宋_GB2312"/>
          <w:kern w:val="0"/>
          <w:sz w:val="28"/>
          <w:szCs w:val="28"/>
        </w:rPr>
        <w:t>采取专项经费拨付与日常运行经费相结合的方式</w:t>
      </w:r>
      <w:r>
        <w:rPr>
          <w:rFonts w:hint="eastAsia" w:ascii="仿宋_GB2312" w:hAnsi="仿宋" w:eastAsia="仿宋_GB2312"/>
          <w:kern w:val="0"/>
          <w:sz w:val="28"/>
          <w:szCs w:val="28"/>
        </w:rPr>
        <w:t>，</w:t>
      </w:r>
      <w:r>
        <w:rPr>
          <w:rFonts w:ascii="仿宋_GB2312" w:hAnsi="仿宋" w:eastAsia="仿宋_GB2312"/>
          <w:kern w:val="0"/>
          <w:sz w:val="28"/>
          <w:szCs w:val="28"/>
        </w:rPr>
        <w:t>确保创新创业教育有效开展</w:t>
      </w:r>
      <w:r>
        <w:rPr>
          <w:rFonts w:hint="eastAsia" w:ascii="仿宋_GB2312" w:hAnsi="仿宋" w:eastAsia="仿宋_GB2312"/>
          <w:kern w:val="0"/>
          <w:sz w:val="28"/>
          <w:szCs w:val="28"/>
        </w:rPr>
        <w:t>，</w:t>
      </w:r>
      <w:r>
        <w:rPr>
          <w:rFonts w:ascii="仿宋_GB2312" w:hAnsi="仿宋" w:eastAsia="仿宋_GB2312"/>
          <w:kern w:val="0"/>
          <w:sz w:val="28"/>
          <w:szCs w:val="28"/>
        </w:rPr>
        <w:t>专项经费包括</w:t>
      </w:r>
      <w:r>
        <w:rPr>
          <w:rFonts w:hint="eastAsia" w:ascii="仿宋_GB2312" w:hAnsi="仿宋" w:eastAsia="仿宋_GB2312"/>
          <w:kern w:val="0"/>
          <w:sz w:val="28"/>
          <w:szCs w:val="28"/>
        </w:rPr>
        <w:t>：中央财政支持地方高校发展专项经费、</w:t>
      </w:r>
    </w:p>
    <w:p>
      <w:pPr>
        <w:spacing w:line="500" w:lineRule="exact"/>
        <w:rPr>
          <w:rFonts w:ascii="仿宋_GB2312" w:hAnsi="仿宋" w:eastAsia="仿宋_GB2312"/>
          <w:kern w:val="0"/>
          <w:sz w:val="28"/>
          <w:szCs w:val="28"/>
        </w:rPr>
      </w:pPr>
      <w:r>
        <w:rPr>
          <w:rFonts w:hint="eastAsia" w:ascii="仿宋_GB2312" w:hAnsi="仿宋" w:eastAsia="仿宋_GB2312"/>
          <w:kern w:val="0"/>
          <w:sz w:val="28"/>
          <w:szCs w:val="28"/>
        </w:rPr>
        <w:t>“创新强校工程”省级财政专项经费、大学生创新创业训练计划专项经费和创业基金专项经费等经费。日常运行经费涵盖国家级实验教学示范中心运行经费、创业教育学院日常预算经费、人才培养模式创新实验区运行经费、“互联网+”竞赛年度经费等各项。近三年来（2016-2018年），我校投入创新创业经费共计3124.45万元，年均经费1014.48万元，满足了我校创新创业教育的需要。</w:t>
      </w:r>
    </w:p>
    <w:p>
      <w:pPr>
        <w:spacing w:line="500" w:lineRule="exact"/>
        <w:ind w:firstLine="555"/>
        <w:outlineLvl w:val="1"/>
        <w:rPr>
          <w:rFonts w:ascii="仿宋_GB2312" w:hAnsi="仿宋" w:eastAsia="仿宋_GB2312"/>
          <w:b/>
          <w:kern w:val="0"/>
          <w:sz w:val="28"/>
          <w:szCs w:val="28"/>
        </w:rPr>
      </w:pPr>
      <w:r>
        <w:rPr>
          <w:rFonts w:hint="eastAsia" w:ascii="仿宋_GB2312" w:hAnsi="仿宋" w:eastAsia="仿宋_GB2312"/>
          <w:b/>
          <w:kern w:val="0"/>
          <w:sz w:val="28"/>
          <w:szCs w:val="28"/>
        </w:rPr>
        <w:t>5.工作制度</w:t>
      </w:r>
    </w:p>
    <w:p>
      <w:pPr>
        <w:spacing w:line="500" w:lineRule="exact"/>
        <w:ind w:firstLine="562" w:firstLineChars="200"/>
        <w:outlineLvl w:val="2"/>
        <w:rPr>
          <w:rFonts w:ascii="仿宋_GB2312" w:hAnsi="仿宋" w:eastAsia="仿宋_GB2312"/>
          <w:b/>
          <w:kern w:val="0"/>
          <w:sz w:val="28"/>
          <w:szCs w:val="28"/>
        </w:rPr>
      </w:pPr>
      <w:r>
        <w:rPr>
          <w:rFonts w:hint="eastAsia" w:ascii="仿宋_GB2312" w:hAnsi="仿宋" w:eastAsia="仿宋_GB2312"/>
          <w:b/>
          <w:kern w:val="0"/>
          <w:sz w:val="28"/>
          <w:szCs w:val="28"/>
        </w:rPr>
        <w:t>（1）成立创新创业教育指导委员会</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由分管本科教学、学生工作和创新创业教育的副校长担任主任委员，教务处、学工部、研究生处、校团委和财务处等职能部门主要负责人、相关教学单位的主要负责人和部分校外创新创业导师担任委员。创新创业教育指导委员会下设秘书处，挂靠创业教育学院，创业教育学院院长担任秘书长。</w:t>
      </w:r>
    </w:p>
    <w:p>
      <w:pPr>
        <w:spacing w:line="500" w:lineRule="exact"/>
        <w:ind w:firstLine="562" w:firstLineChars="200"/>
        <w:outlineLvl w:val="2"/>
        <w:rPr>
          <w:rFonts w:ascii="仿宋_GB2312" w:hAnsi="仿宋" w:eastAsia="仿宋_GB2312"/>
          <w:b/>
          <w:kern w:val="0"/>
          <w:sz w:val="28"/>
          <w:szCs w:val="28"/>
        </w:rPr>
      </w:pPr>
      <w:r>
        <w:rPr>
          <w:rFonts w:hint="eastAsia" w:ascii="仿宋_GB2312" w:hAnsi="仿宋" w:eastAsia="仿宋_GB2312"/>
          <w:b/>
          <w:kern w:val="0"/>
          <w:sz w:val="28"/>
          <w:szCs w:val="28"/>
        </w:rPr>
        <w:t>（2）成立学生创业园区管理委员会</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分管本科教学、学生工作和创新创业教育的副校长担任主任委员，党委办公室、校长办公室、教务处、学工部、研究生处、校团委、财务处和创业教育学院等部门主要负责人任委员。学生创业园区管理委员会下设工作办公室，挂靠创业教育学院，与创新创业服务中心合署办公，由创业教育学院党总支书记担任园区办公室主任。</w:t>
      </w:r>
    </w:p>
    <w:p>
      <w:pPr>
        <w:spacing w:line="500" w:lineRule="exact"/>
        <w:ind w:firstLine="562" w:firstLineChars="200"/>
        <w:outlineLvl w:val="2"/>
        <w:rPr>
          <w:rFonts w:ascii="仿宋_GB2312" w:hAnsi="仿宋" w:eastAsia="仿宋_GB2312"/>
          <w:b/>
          <w:kern w:val="0"/>
          <w:sz w:val="28"/>
          <w:szCs w:val="28"/>
        </w:rPr>
      </w:pPr>
      <w:r>
        <w:rPr>
          <w:rFonts w:hint="eastAsia" w:ascii="仿宋_GB2312" w:hAnsi="仿宋" w:eastAsia="仿宋_GB2312"/>
          <w:b/>
          <w:kern w:val="0"/>
          <w:sz w:val="28"/>
          <w:szCs w:val="28"/>
        </w:rPr>
        <w:t>（3）规章制度</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学校印发《广东财经大学学生创业园区管理规定》、《广东财经大学实验室开放管理办法》、《广东财经大学学生创业园日常管理办法》、《广东财经大学大学生创业引导基金管理办法》等规章制服，对入园项目的遴选、日常管理、项目团队考核与奖惩、创业基金、实验室管理等均做了详细规定。</w:t>
      </w:r>
    </w:p>
    <w:p>
      <w:pPr>
        <w:spacing w:line="500" w:lineRule="exact"/>
        <w:ind w:firstLine="562" w:firstLineChars="200"/>
        <w:outlineLvl w:val="1"/>
        <w:rPr>
          <w:rFonts w:ascii="仿宋_GB2312" w:hAnsi="仿宋" w:eastAsia="仿宋_GB2312"/>
          <w:b/>
          <w:kern w:val="0"/>
          <w:sz w:val="28"/>
          <w:szCs w:val="28"/>
        </w:rPr>
      </w:pPr>
      <w:r>
        <w:rPr>
          <w:rFonts w:hint="eastAsia" w:ascii="仿宋_GB2312" w:hAnsi="仿宋" w:eastAsia="仿宋_GB2312"/>
          <w:b/>
          <w:kern w:val="0"/>
          <w:sz w:val="28"/>
          <w:szCs w:val="28"/>
        </w:rPr>
        <w:t>6.考核激励机制</w:t>
      </w:r>
    </w:p>
    <w:p>
      <w:pPr>
        <w:spacing w:line="500" w:lineRule="exact"/>
        <w:ind w:firstLine="555"/>
        <w:rPr>
          <w:rFonts w:ascii="仿宋_GB2312" w:hAnsi="仿宋" w:eastAsia="仿宋_GB2312"/>
          <w:kern w:val="0"/>
          <w:sz w:val="28"/>
          <w:szCs w:val="28"/>
        </w:rPr>
      </w:pPr>
      <w:r>
        <w:rPr>
          <w:rFonts w:hint="eastAsia" w:ascii="仿宋_GB2312" w:hAnsi="仿宋" w:eastAsia="仿宋_GB2312"/>
          <w:kern w:val="0"/>
          <w:sz w:val="28"/>
          <w:szCs w:val="28"/>
        </w:rPr>
        <w:t>将创新创业教育成效纳入教学院部年度考核指标，在《广东财经大学2013-2017学年教学院部目标管理考核指标体系》中，作为主要</w:t>
      </w:r>
    </w:p>
    <w:p>
      <w:pPr>
        <w:spacing w:line="500" w:lineRule="exact"/>
        <w:rPr>
          <w:rFonts w:ascii="仿宋_GB2312" w:hAnsi="仿宋" w:eastAsia="仿宋_GB2312"/>
          <w:kern w:val="0"/>
          <w:sz w:val="28"/>
          <w:szCs w:val="28"/>
        </w:rPr>
      </w:pPr>
      <w:r>
        <w:rPr>
          <w:rFonts w:hint="eastAsia" w:ascii="仿宋_GB2312" w:hAnsi="仿宋" w:eastAsia="仿宋_GB2312"/>
          <w:kern w:val="0"/>
          <w:sz w:val="28"/>
          <w:szCs w:val="28"/>
        </w:rPr>
        <w:t>观测点的“实践教学与创新创业教育”指标，在全部指标管理体系中占比7%,超过学科建设（5%）和科研项目（6%），各教学单位高度重视。创新创业教育工作业绩与职称评聘、职务晋升等相关联，成为我</w:t>
      </w:r>
      <w:bookmarkStart w:id="0" w:name="_GoBack"/>
      <w:bookmarkEnd w:id="0"/>
      <w:r>
        <w:rPr>
          <w:rFonts w:hint="eastAsia" w:ascii="仿宋_GB2312" w:hAnsi="仿宋" w:eastAsia="仿宋_GB2312"/>
          <w:kern w:val="0"/>
          <w:sz w:val="28"/>
          <w:szCs w:val="28"/>
        </w:rPr>
        <w:t>校教学型副教授和教授评定的重要考量内容。</w:t>
      </w:r>
    </w:p>
    <w:p>
      <w:pPr>
        <w:spacing w:line="500" w:lineRule="exact"/>
        <w:ind w:firstLine="602" w:firstLineChars="200"/>
        <w:outlineLvl w:val="0"/>
        <w:rPr>
          <w:rFonts w:ascii="仿宋_GB2312" w:hAnsi="仿宋" w:eastAsia="仿宋_GB2312"/>
          <w:b/>
          <w:kern w:val="0"/>
          <w:sz w:val="30"/>
          <w:szCs w:val="30"/>
        </w:rPr>
      </w:pPr>
      <w:r>
        <w:rPr>
          <w:rFonts w:hint="eastAsia" w:ascii="仿宋_GB2312" w:hAnsi="宋体" w:eastAsia="仿宋_GB2312" w:cs="宋体"/>
          <w:b/>
          <w:kern w:val="0"/>
          <w:sz w:val="30"/>
          <w:szCs w:val="30"/>
        </w:rPr>
        <w:t>二、创新创业教学</w:t>
      </w:r>
    </w:p>
    <w:p>
      <w:pPr>
        <w:spacing w:line="500" w:lineRule="exact"/>
        <w:ind w:firstLine="562" w:firstLineChars="200"/>
        <w:outlineLvl w:val="1"/>
        <w:rPr>
          <w:rFonts w:ascii="仿宋_GB2312" w:hAnsi="仿宋" w:eastAsia="仿宋_GB2312"/>
          <w:kern w:val="0"/>
          <w:sz w:val="28"/>
          <w:szCs w:val="28"/>
        </w:rPr>
      </w:pPr>
      <w:r>
        <w:rPr>
          <w:rFonts w:hint="eastAsia" w:ascii="仿宋_GB2312" w:hAnsi="仿宋" w:eastAsia="仿宋_GB2312"/>
          <w:b/>
          <w:kern w:val="0"/>
          <w:sz w:val="28"/>
          <w:szCs w:val="28"/>
        </w:rPr>
        <w:t>1.修订本科人才培养方案</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2016年学校重新修订本科人才培养方案，明确了创新创业教育目标，设置了涵盖通识类创新创业课程、专业类创新创业课程和开放式课程三种类别，将大学生创新创业训练计划项目，创新创业竞赛、创新创业培训、创业项目园区孵化等创新创业实践活动纳入开放式课程管理，学生完成相应活动可根据管理办法替代通识选修、专业选修和综合运用课的课程，提升了学生参与创新创业教育的热情。</w:t>
      </w:r>
    </w:p>
    <w:p>
      <w:pPr>
        <w:spacing w:line="500" w:lineRule="exact"/>
        <w:ind w:firstLine="562" w:firstLineChars="200"/>
        <w:outlineLvl w:val="1"/>
        <w:rPr>
          <w:rFonts w:ascii="仿宋_GB2312" w:hAnsi="仿宋" w:eastAsia="仿宋_GB2312"/>
          <w:kern w:val="0"/>
          <w:sz w:val="28"/>
          <w:szCs w:val="28"/>
        </w:rPr>
      </w:pPr>
      <w:r>
        <w:rPr>
          <w:rFonts w:hint="eastAsia" w:ascii="仿宋_GB2312" w:hAnsi="仿宋" w:eastAsia="仿宋_GB2312"/>
          <w:b/>
          <w:kern w:val="0"/>
          <w:sz w:val="28"/>
          <w:szCs w:val="28"/>
        </w:rPr>
        <w:t>2.创新创业教育课程</w:t>
      </w:r>
    </w:p>
    <w:p>
      <w:pPr>
        <w:spacing w:line="500" w:lineRule="exact"/>
        <w:ind w:firstLine="562" w:firstLineChars="200"/>
        <w:outlineLvl w:val="2"/>
        <w:rPr>
          <w:rFonts w:ascii="仿宋_GB2312" w:hAnsi="仿宋" w:eastAsia="仿宋_GB2312"/>
          <w:kern w:val="0"/>
          <w:sz w:val="28"/>
          <w:szCs w:val="28"/>
        </w:rPr>
      </w:pPr>
      <w:r>
        <w:rPr>
          <w:rFonts w:hint="eastAsia" w:ascii="仿宋_GB2312" w:hAnsi="仿宋" w:eastAsia="仿宋_GB2312"/>
          <w:b/>
          <w:kern w:val="0"/>
          <w:sz w:val="28"/>
          <w:szCs w:val="28"/>
        </w:rPr>
        <w:t>（1）建设通识类创新创业教育课程体系</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学校面向全体学生开设《创业基础》、《职业生涯与发展规划》和《就业指导》三门通识必修课程，《创业基础》为32学时2学分。</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在通识选修课程中</w:t>
      </w:r>
      <w:r>
        <w:rPr>
          <w:rFonts w:hint="eastAsia" w:ascii="仿宋_GB2312" w:hAnsi="宋体" w:eastAsia="仿宋_GB2312"/>
          <w:kern w:val="0"/>
          <w:sz w:val="28"/>
          <w:szCs w:val="28"/>
        </w:rPr>
        <w:t>设置“思维与方法”模块，开设《批判性思维》等30门课程；设置“自然与科技”模块，开设《自然科学前沿专题》等30门课程；设置“创新与创业”模块，开设《设计思维》、《创业计划制作实务》、《创业与管理：决策模拟》、《SYB创业培训》等18门课程。</w:t>
      </w:r>
    </w:p>
    <w:p>
      <w:pPr>
        <w:spacing w:line="500" w:lineRule="exact"/>
        <w:ind w:firstLine="562" w:firstLineChars="200"/>
        <w:outlineLvl w:val="2"/>
        <w:rPr>
          <w:rFonts w:ascii="仿宋_GB2312" w:hAnsi="仿宋" w:eastAsia="仿宋_GB2312"/>
          <w:b/>
          <w:kern w:val="0"/>
          <w:sz w:val="28"/>
          <w:szCs w:val="28"/>
        </w:rPr>
      </w:pPr>
      <w:r>
        <w:rPr>
          <w:rFonts w:hint="eastAsia" w:ascii="仿宋_GB2312" w:hAnsi="仿宋" w:eastAsia="仿宋_GB2312"/>
          <w:b/>
          <w:kern w:val="0"/>
          <w:sz w:val="28"/>
          <w:szCs w:val="28"/>
        </w:rPr>
        <w:t>（2）出台《《广东财经大学创新创业教育课程建设方案》</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创新创业教育课程涵盖通识类创新创业课程、专业类创新创业课程和开放式课程三种类别，包括通识必修、通识选修、专业必修、专业选修、综合运用必修和开放式课程（项目）六个层次，具体安排见下表。</w:t>
      </w:r>
    </w:p>
    <w:p>
      <w:pPr>
        <w:spacing w:line="500" w:lineRule="exact"/>
        <w:ind w:firstLine="1800" w:firstLineChars="600"/>
        <w:rPr>
          <w:rFonts w:ascii="仿宋" w:hAnsi="仿宋" w:eastAsia="仿宋" w:cs="仿宋"/>
          <w:sz w:val="30"/>
          <w:szCs w:val="30"/>
        </w:rPr>
      </w:pPr>
      <w:r>
        <w:rPr>
          <w:rFonts w:hint="eastAsia" w:ascii="仿宋" w:hAnsi="仿宋" w:eastAsia="仿宋" w:cs="仿宋"/>
          <w:sz w:val="30"/>
          <w:szCs w:val="30"/>
        </w:rPr>
        <w:t>表1：创新创业教育课程体系设置一览表</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671"/>
        <w:gridCol w:w="2874"/>
        <w:gridCol w:w="1666"/>
        <w:gridCol w:w="714"/>
        <w:gridCol w:w="786"/>
        <w:gridCol w:w="1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73" w:type="pct"/>
            <w:vAlign w:val="center"/>
          </w:tcPr>
          <w:p>
            <w:pPr>
              <w:spacing w:line="240" w:lineRule="exact"/>
              <w:jc w:val="center"/>
              <w:rPr>
                <w:rFonts w:ascii="仿宋" w:hAnsi="仿宋" w:eastAsia="仿宋" w:cs="仿宋"/>
                <w:b/>
                <w:szCs w:val="21"/>
              </w:rPr>
            </w:pPr>
            <w:r>
              <w:rPr>
                <w:rFonts w:hint="eastAsia" w:ascii="仿宋" w:hAnsi="仿宋" w:eastAsia="仿宋" w:cs="仿宋"/>
                <w:b/>
                <w:szCs w:val="21"/>
              </w:rPr>
              <w:t>课程</w:t>
            </w:r>
          </w:p>
          <w:p>
            <w:pPr>
              <w:spacing w:line="240" w:lineRule="exact"/>
              <w:jc w:val="center"/>
              <w:rPr>
                <w:rFonts w:ascii="仿宋" w:hAnsi="仿宋" w:eastAsia="仿宋" w:cs="仿宋"/>
                <w:b/>
                <w:szCs w:val="21"/>
              </w:rPr>
            </w:pPr>
            <w:r>
              <w:rPr>
                <w:rFonts w:hint="eastAsia" w:ascii="仿宋" w:hAnsi="仿宋" w:eastAsia="仿宋" w:cs="仿宋"/>
                <w:b/>
                <w:szCs w:val="21"/>
              </w:rPr>
              <w:t>类别</w:t>
            </w:r>
          </w:p>
        </w:tc>
        <w:tc>
          <w:tcPr>
            <w:tcW w:w="394" w:type="pct"/>
            <w:vAlign w:val="center"/>
          </w:tcPr>
          <w:p>
            <w:pPr>
              <w:spacing w:line="240" w:lineRule="exact"/>
              <w:jc w:val="center"/>
              <w:rPr>
                <w:rFonts w:ascii="仿宋" w:hAnsi="仿宋" w:eastAsia="仿宋" w:cs="仿宋"/>
                <w:b/>
                <w:szCs w:val="21"/>
              </w:rPr>
            </w:pPr>
            <w:r>
              <w:rPr>
                <w:rFonts w:hint="eastAsia" w:ascii="仿宋" w:hAnsi="仿宋" w:eastAsia="仿宋" w:cs="仿宋"/>
                <w:b/>
                <w:szCs w:val="21"/>
              </w:rPr>
              <w:t>课程</w:t>
            </w:r>
          </w:p>
          <w:p>
            <w:pPr>
              <w:spacing w:line="240" w:lineRule="exact"/>
              <w:jc w:val="center"/>
              <w:rPr>
                <w:rFonts w:ascii="仿宋" w:hAnsi="仿宋" w:eastAsia="仿宋" w:cs="仿宋"/>
                <w:b/>
                <w:szCs w:val="21"/>
              </w:rPr>
            </w:pPr>
            <w:r>
              <w:rPr>
                <w:rFonts w:hint="eastAsia" w:ascii="仿宋" w:hAnsi="仿宋" w:eastAsia="仿宋" w:cs="仿宋"/>
                <w:b/>
                <w:szCs w:val="21"/>
              </w:rPr>
              <w:t>模块</w:t>
            </w:r>
          </w:p>
        </w:tc>
        <w:tc>
          <w:tcPr>
            <w:tcW w:w="1686" w:type="pct"/>
            <w:vAlign w:val="center"/>
          </w:tcPr>
          <w:p>
            <w:pPr>
              <w:spacing w:line="240" w:lineRule="exact"/>
              <w:jc w:val="center"/>
              <w:rPr>
                <w:rFonts w:ascii="仿宋" w:hAnsi="仿宋" w:eastAsia="仿宋" w:cs="仿宋"/>
                <w:b/>
                <w:szCs w:val="21"/>
              </w:rPr>
            </w:pPr>
            <w:r>
              <w:rPr>
                <w:rFonts w:hint="eastAsia" w:ascii="仿宋" w:hAnsi="仿宋" w:eastAsia="仿宋" w:cs="仿宋"/>
                <w:b/>
                <w:szCs w:val="21"/>
              </w:rPr>
              <w:t>课程设置</w:t>
            </w:r>
          </w:p>
        </w:tc>
        <w:tc>
          <w:tcPr>
            <w:tcW w:w="977" w:type="pct"/>
            <w:vAlign w:val="center"/>
          </w:tcPr>
          <w:p>
            <w:pPr>
              <w:spacing w:line="240" w:lineRule="exact"/>
              <w:jc w:val="center"/>
              <w:rPr>
                <w:rFonts w:ascii="仿宋" w:hAnsi="仿宋" w:eastAsia="仿宋" w:cs="仿宋"/>
                <w:b/>
                <w:szCs w:val="21"/>
              </w:rPr>
            </w:pPr>
            <w:r>
              <w:rPr>
                <w:rFonts w:hint="eastAsia" w:ascii="仿宋" w:hAnsi="仿宋" w:eastAsia="仿宋" w:cs="仿宋"/>
                <w:b/>
                <w:szCs w:val="21"/>
              </w:rPr>
              <w:t>面向对象</w:t>
            </w:r>
          </w:p>
          <w:p>
            <w:pPr>
              <w:spacing w:line="240" w:lineRule="exact"/>
              <w:jc w:val="center"/>
              <w:rPr>
                <w:rFonts w:ascii="仿宋" w:hAnsi="仿宋" w:eastAsia="仿宋" w:cs="仿宋"/>
                <w:b/>
                <w:szCs w:val="21"/>
              </w:rPr>
            </w:pPr>
            <w:r>
              <w:rPr>
                <w:rFonts w:hint="eastAsia" w:ascii="仿宋" w:hAnsi="仿宋" w:eastAsia="仿宋" w:cs="仿宋"/>
                <w:b/>
                <w:szCs w:val="21"/>
              </w:rPr>
              <w:t>（课程性质）</w:t>
            </w:r>
          </w:p>
        </w:tc>
        <w:tc>
          <w:tcPr>
            <w:tcW w:w="419" w:type="pct"/>
            <w:vAlign w:val="center"/>
          </w:tcPr>
          <w:p>
            <w:pPr>
              <w:spacing w:line="240" w:lineRule="exact"/>
              <w:jc w:val="center"/>
              <w:rPr>
                <w:rFonts w:ascii="仿宋" w:hAnsi="仿宋" w:eastAsia="仿宋" w:cs="仿宋"/>
                <w:b/>
                <w:szCs w:val="21"/>
              </w:rPr>
            </w:pPr>
            <w:r>
              <w:rPr>
                <w:rFonts w:hint="eastAsia" w:ascii="仿宋" w:hAnsi="仿宋" w:eastAsia="仿宋" w:cs="仿宋"/>
                <w:b/>
                <w:szCs w:val="21"/>
              </w:rPr>
              <w:t>课程门数</w:t>
            </w:r>
          </w:p>
        </w:tc>
        <w:tc>
          <w:tcPr>
            <w:tcW w:w="461" w:type="pct"/>
            <w:vAlign w:val="center"/>
          </w:tcPr>
          <w:p>
            <w:pPr>
              <w:spacing w:line="240" w:lineRule="exact"/>
              <w:jc w:val="center"/>
              <w:rPr>
                <w:rFonts w:ascii="仿宋" w:hAnsi="仿宋" w:eastAsia="仿宋" w:cs="仿宋"/>
                <w:b/>
                <w:szCs w:val="21"/>
              </w:rPr>
            </w:pPr>
            <w:r>
              <w:rPr>
                <w:rFonts w:hint="eastAsia" w:ascii="仿宋" w:hAnsi="仿宋" w:eastAsia="仿宋" w:cs="仿宋"/>
                <w:b/>
                <w:szCs w:val="21"/>
              </w:rPr>
              <w:t>课程学分</w:t>
            </w:r>
          </w:p>
        </w:tc>
        <w:tc>
          <w:tcPr>
            <w:tcW w:w="689" w:type="pct"/>
            <w:vAlign w:val="center"/>
          </w:tcPr>
          <w:p>
            <w:pPr>
              <w:spacing w:line="240" w:lineRule="exact"/>
              <w:jc w:val="center"/>
              <w:rPr>
                <w:rFonts w:ascii="Calibri" w:hAnsi="Calibri" w:eastAsia="宋体" w:cs="Times New Roman"/>
                <w:b/>
              </w:rPr>
            </w:pPr>
            <w:r>
              <w:rPr>
                <w:rFonts w:hint="eastAsia" w:ascii="仿宋" w:hAnsi="仿宋" w:eastAsia="仿宋" w:cs="仿宋"/>
                <w:b/>
                <w:szCs w:val="21"/>
              </w:rPr>
              <w:t>归属单位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73" w:type="pct"/>
            <w:vMerge w:val="restart"/>
            <w:vAlign w:val="center"/>
          </w:tcPr>
          <w:p>
            <w:pPr>
              <w:spacing w:line="240" w:lineRule="exact"/>
              <w:jc w:val="center"/>
              <w:rPr>
                <w:rFonts w:ascii="仿宋" w:hAnsi="仿宋" w:eastAsia="仿宋" w:cs="仿宋"/>
                <w:szCs w:val="21"/>
              </w:rPr>
            </w:pPr>
            <w:r>
              <w:rPr>
                <w:rFonts w:hint="eastAsia" w:ascii="仿宋" w:hAnsi="仿宋" w:eastAsia="仿宋" w:cs="仿宋"/>
                <w:szCs w:val="21"/>
              </w:rPr>
              <w:t>通识</w:t>
            </w:r>
          </w:p>
          <w:p>
            <w:pPr>
              <w:spacing w:line="240" w:lineRule="exact"/>
              <w:jc w:val="center"/>
              <w:rPr>
                <w:rFonts w:ascii="仿宋" w:hAnsi="仿宋" w:eastAsia="仿宋" w:cs="仿宋"/>
                <w:szCs w:val="21"/>
              </w:rPr>
            </w:pPr>
            <w:r>
              <w:rPr>
                <w:rFonts w:hint="eastAsia" w:ascii="仿宋" w:hAnsi="仿宋" w:eastAsia="仿宋" w:cs="仿宋"/>
                <w:szCs w:val="21"/>
              </w:rPr>
              <w:t>课程</w:t>
            </w:r>
          </w:p>
        </w:tc>
        <w:tc>
          <w:tcPr>
            <w:tcW w:w="394" w:type="pct"/>
            <w:vMerge w:val="restart"/>
            <w:vAlign w:val="center"/>
          </w:tcPr>
          <w:p>
            <w:pPr>
              <w:spacing w:line="240" w:lineRule="exact"/>
              <w:jc w:val="center"/>
              <w:rPr>
                <w:rFonts w:ascii="仿宋" w:hAnsi="仿宋" w:eastAsia="仿宋" w:cs="仿宋"/>
                <w:szCs w:val="21"/>
              </w:rPr>
            </w:pPr>
            <w:r>
              <w:rPr>
                <w:rFonts w:hint="eastAsia" w:ascii="仿宋" w:hAnsi="仿宋" w:eastAsia="仿宋" w:cs="仿宋"/>
                <w:szCs w:val="21"/>
              </w:rPr>
              <w:t>创新与</w:t>
            </w:r>
          </w:p>
          <w:p>
            <w:pPr>
              <w:spacing w:line="240" w:lineRule="exact"/>
              <w:jc w:val="center"/>
              <w:rPr>
                <w:rFonts w:ascii="仿宋" w:hAnsi="仿宋" w:eastAsia="仿宋" w:cs="仿宋"/>
                <w:szCs w:val="21"/>
              </w:rPr>
            </w:pPr>
            <w:r>
              <w:rPr>
                <w:rFonts w:hint="eastAsia" w:ascii="仿宋" w:hAnsi="仿宋" w:eastAsia="仿宋" w:cs="仿宋"/>
                <w:szCs w:val="21"/>
              </w:rPr>
              <w:t>创业</w:t>
            </w:r>
          </w:p>
        </w:tc>
        <w:tc>
          <w:tcPr>
            <w:tcW w:w="1686" w:type="pct"/>
            <w:vAlign w:val="center"/>
          </w:tcPr>
          <w:p>
            <w:pPr>
              <w:spacing w:line="240" w:lineRule="exact"/>
              <w:jc w:val="center"/>
              <w:rPr>
                <w:rFonts w:ascii="仿宋" w:hAnsi="仿宋" w:eastAsia="仿宋" w:cs="仿宋"/>
                <w:szCs w:val="21"/>
              </w:rPr>
            </w:pPr>
            <w:r>
              <w:rPr>
                <w:rFonts w:hint="eastAsia" w:ascii="仿宋" w:hAnsi="仿宋" w:eastAsia="仿宋" w:cs="仿宋"/>
                <w:szCs w:val="21"/>
              </w:rPr>
              <w:t>《创业基础》</w:t>
            </w:r>
          </w:p>
        </w:tc>
        <w:tc>
          <w:tcPr>
            <w:tcW w:w="977" w:type="pct"/>
            <w:vAlign w:val="center"/>
          </w:tcPr>
          <w:p>
            <w:pPr>
              <w:spacing w:line="240" w:lineRule="exact"/>
              <w:jc w:val="center"/>
              <w:rPr>
                <w:rFonts w:ascii="仿宋" w:hAnsi="仿宋" w:eastAsia="仿宋" w:cs="仿宋"/>
                <w:szCs w:val="21"/>
              </w:rPr>
            </w:pPr>
            <w:r>
              <w:rPr>
                <w:rFonts w:hint="eastAsia" w:ascii="仿宋" w:hAnsi="仿宋" w:eastAsia="仿宋" w:cs="仿宋"/>
                <w:szCs w:val="21"/>
              </w:rPr>
              <w:t>全体学生</w:t>
            </w:r>
          </w:p>
          <w:p>
            <w:pPr>
              <w:spacing w:line="240" w:lineRule="exact"/>
              <w:jc w:val="center"/>
              <w:rPr>
                <w:rFonts w:ascii="仿宋" w:hAnsi="仿宋" w:eastAsia="仿宋" w:cs="仿宋"/>
                <w:szCs w:val="21"/>
              </w:rPr>
            </w:pPr>
            <w:r>
              <w:rPr>
                <w:rFonts w:hint="eastAsia" w:ascii="仿宋" w:hAnsi="仿宋" w:eastAsia="仿宋" w:cs="仿宋"/>
                <w:szCs w:val="21"/>
              </w:rPr>
              <w:t>（必修）</w:t>
            </w:r>
          </w:p>
        </w:tc>
        <w:tc>
          <w:tcPr>
            <w:tcW w:w="419" w:type="pct"/>
            <w:vAlign w:val="center"/>
          </w:tcPr>
          <w:p>
            <w:pPr>
              <w:spacing w:line="240" w:lineRule="exact"/>
              <w:jc w:val="center"/>
              <w:rPr>
                <w:rFonts w:ascii="仿宋" w:hAnsi="仿宋" w:eastAsia="仿宋" w:cs="仿宋"/>
                <w:szCs w:val="21"/>
              </w:rPr>
            </w:pPr>
            <w:r>
              <w:rPr>
                <w:rFonts w:hint="eastAsia" w:ascii="仿宋" w:hAnsi="仿宋" w:eastAsia="仿宋" w:cs="仿宋"/>
                <w:szCs w:val="21"/>
              </w:rPr>
              <w:t>1</w:t>
            </w:r>
          </w:p>
        </w:tc>
        <w:tc>
          <w:tcPr>
            <w:tcW w:w="461" w:type="pct"/>
            <w:vAlign w:val="center"/>
          </w:tcPr>
          <w:p>
            <w:pPr>
              <w:spacing w:line="240" w:lineRule="exact"/>
              <w:jc w:val="center"/>
              <w:rPr>
                <w:rFonts w:ascii="仿宋" w:hAnsi="仿宋" w:eastAsia="仿宋" w:cs="仿宋"/>
                <w:szCs w:val="21"/>
              </w:rPr>
            </w:pPr>
            <w:r>
              <w:rPr>
                <w:rFonts w:hint="eastAsia" w:ascii="仿宋" w:hAnsi="仿宋" w:eastAsia="仿宋" w:cs="仿宋"/>
                <w:szCs w:val="21"/>
              </w:rPr>
              <w:t>2</w:t>
            </w:r>
          </w:p>
        </w:tc>
        <w:tc>
          <w:tcPr>
            <w:tcW w:w="689" w:type="pct"/>
            <w:vAlign w:val="center"/>
          </w:tcPr>
          <w:p>
            <w:pPr>
              <w:spacing w:line="240" w:lineRule="exact"/>
              <w:jc w:val="center"/>
              <w:rPr>
                <w:rFonts w:ascii="Calibri" w:hAnsi="Calibri" w:eastAsia="宋体" w:cs="Times New Roman"/>
              </w:rPr>
            </w:pPr>
            <w:r>
              <w:rPr>
                <w:rFonts w:hint="eastAsia" w:ascii="仿宋" w:hAnsi="仿宋" w:eastAsia="仿宋" w:cs="仿宋"/>
                <w:szCs w:val="21"/>
              </w:rPr>
              <w:t>创业教育学院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73" w:type="pct"/>
            <w:vMerge w:val="continue"/>
            <w:vAlign w:val="center"/>
          </w:tcPr>
          <w:p>
            <w:pPr>
              <w:spacing w:line="240" w:lineRule="exact"/>
              <w:jc w:val="center"/>
              <w:rPr>
                <w:rFonts w:ascii="仿宋" w:hAnsi="仿宋" w:eastAsia="仿宋" w:cs="仿宋"/>
                <w:szCs w:val="21"/>
              </w:rPr>
            </w:pPr>
          </w:p>
        </w:tc>
        <w:tc>
          <w:tcPr>
            <w:tcW w:w="394" w:type="pct"/>
            <w:vMerge w:val="continue"/>
            <w:vAlign w:val="center"/>
          </w:tcPr>
          <w:p>
            <w:pPr>
              <w:spacing w:line="240" w:lineRule="exact"/>
              <w:jc w:val="center"/>
              <w:rPr>
                <w:rFonts w:ascii="仿宋" w:hAnsi="仿宋" w:eastAsia="仿宋" w:cs="仿宋"/>
                <w:szCs w:val="21"/>
              </w:rPr>
            </w:pPr>
          </w:p>
        </w:tc>
        <w:tc>
          <w:tcPr>
            <w:tcW w:w="1686" w:type="pct"/>
            <w:vAlign w:val="center"/>
          </w:tcPr>
          <w:p>
            <w:pPr>
              <w:spacing w:line="240" w:lineRule="exact"/>
              <w:jc w:val="center"/>
              <w:rPr>
                <w:rFonts w:ascii="仿宋" w:hAnsi="仿宋" w:eastAsia="仿宋" w:cs="仿宋"/>
                <w:szCs w:val="21"/>
              </w:rPr>
            </w:pPr>
            <w:r>
              <w:rPr>
                <w:rFonts w:hint="eastAsia" w:ascii="仿宋" w:hAnsi="仿宋" w:eastAsia="仿宋" w:cs="仿宋"/>
                <w:szCs w:val="21"/>
              </w:rPr>
              <w:t>《职业生涯发展与规划》、</w:t>
            </w:r>
          </w:p>
          <w:p>
            <w:pPr>
              <w:spacing w:line="240" w:lineRule="exact"/>
              <w:jc w:val="center"/>
              <w:rPr>
                <w:rFonts w:ascii="仿宋" w:hAnsi="仿宋" w:eastAsia="仿宋" w:cs="仿宋"/>
                <w:szCs w:val="21"/>
              </w:rPr>
            </w:pPr>
            <w:r>
              <w:rPr>
                <w:rFonts w:hint="eastAsia" w:ascii="仿宋" w:hAnsi="仿宋" w:eastAsia="仿宋" w:cs="仿宋"/>
                <w:szCs w:val="21"/>
              </w:rPr>
              <w:t>《就业指导》</w:t>
            </w:r>
          </w:p>
        </w:tc>
        <w:tc>
          <w:tcPr>
            <w:tcW w:w="977" w:type="pct"/>
            <w:vAlign w:val="center"/>
          </w:tcPr>
          <w:p>
            <w:pPr>
              <w:spacing w:line="240" w:lineRule="exact"/>
              <w:jc w:val="center"/>
              <w:rPr>
                <w:rFonts w:ascii="仿宋" w:hAnsi="仿宋" w:eastAsia="仿宋" w:cs="仿宋"/>
                <w:szCs w:val="21"/>
              </w:rPr>
            </w:pPr>
            <w:r>
              <w:rPr>
                <w:rFonts w:hint="eastAsia" w:ascii="仿宋" w:hAnsi="仿宋" w:eastAsia="仿宋" w:cs="仿宋"/>
                <w:szCs w:val="21"/>
              </w:rPr>
              <w:t>全体学生</w:t>
            </w:r>
          </w:p>
          <w:p>
            <w:pPr>
              <w:spacing w:line="240" w:lineRule="exact"/>
              <w:jc w:val="center"/>
              <w:rPr>
                <w:rFonts w:ascii="仿宋" w:hAnsi="仿宋" w:eastAsia="仿宋" w:cs="仿宋"/>
                <w:szCs w:val="21"/>
              </w:rPr>
            </w:pPr>
            <w:r>
              <w:rPr>
                <w:rFonts w:hint="eastAsia" w:ascii="仿宋" w:hAnsi="仿宋" w:eastAsia="仿宋" w:cs="仿宋"/>
                <w:szCs w:val="21"/>
              </w:rPr>
              <w:t>（必修）</w:t>
            </w:r>
          </w:p>
        </w:tc>
        <w:tc>
          <w:tcPr>
            <w:tcW w:w="419" w:type="pct"/>
            <w:vAlign w:val="center"/>
          </w:tcPr>
          <w:p>
            <w:pPr>
              <w:spacing w:line="240" w:lineRule="exact"/>
              <w:jc w:val="center"/>
              <w:rPr>
                <w:rFonts w:ascii="仿宋" w:hAnsi="仿宋" w:eastAsia="仿宋" w:cs="仿宋"/>
                <w:szCs w:val="21"/>
              </w:rPr>
            </w:pPr>
            <w:r>
              <w:rPr>
                <w:rFonts w:hint="eastAsia" w:ascii="仿宋" w:hAnsi="仿宋" w:eastAsia="仿宋" w:cs="仿宋"/>
                <w:szCs w:val="21"/>
              </w:rPr>
              <w:t>2</w:t>
            </w:r>
          </w:p>
        </w:tc>
        <w:tc>
          <w:tcPr>
            <w:tcW w:w="461" w:type="pct"/>
            <w:vAlign w:val="center"/>
          </w:tcPr>
          <w:p>
            <w:pPr>
              <w:spacing w:line="240" w:lineRule="exact"/>
              <w:jc w:val="center"/>
              <w:rPr>
                <w:rFonts w:ascii="仿宋" w:hAnsi="仿宋" w:eastAsia="仿宋" w:cs="仿宋"/>
                <w:szCs w:val="21"/>
              </w:rPr>
            </w:pPr>
            <w:r>
              <w:rPr>
                <w:rFonts w:hint="eastAsia" w:ascii="仿宋" w:hAnsi="仿宋" w:eastAsia="仿宋" w:cs="仿宋"/>
                <w:szCs w:val="21"/>
              </w:rPr>
              <w:t>1</w:t>
            </w:r>
          </w:p>
        </w:tc>
        <w:tc>
          <w:tcPr>
            <w:tcW w:w="689" w:type="pct"/>
            <w:vAlign w:val="center"/>
          </w:tcPr>
          <w:p>
            <w:pPr>
              <w:spacing w:line="240" w:lineRule="exact"/>
              <w:jc w:val="center"/>
              <w:rPr>
                <w:rFonts w:ascii="Calibri" w:hAnsi="Calibri" w:eastAsia="宋体" w:cs="Times New Roman"/>
              </w:rPr>
            </w:pPr>
            <w:r>
              <w:rPr>
                <w:rFonts w:hint="eastAsia" w:ascii="仿宋" w:hAnsi="仿宋" w:eastAsia="仿宋" w:cs="仿宋"/>
                <w:szCs w:val="21"/>
              </w:rPr>
              <w:t>招生与就业服务处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73" w:type="pct"/>
            <w:vMerge w:val="continue"/>
            <w:vAlign w:val="center"/>
          </w:tcPr>
          <w:p>
            <w:pPr>
              <w:spacing w:line="240" w:lineRule="exact"/>
              <w:jc w:val="center"/>
              <w:rPr>
                <w:rFonts w:ascii="仿宋" w:hAnsi="仿宋" w:eastAsia="仿宋" w:cs="仿宋"/>
                <w:szCs w:val="21"/>
              </w:rPr>
            </w:pPr>
          </w:p>
        </w:tc>
        <w:tc>
          <w:tcPr>
            <w:tcW w:w="394" w:type="pct"/>
            <w:vMerge w:val="continue"/>
            <w:vAlign w:val="center"/>
          </w:tcPr>
          <w:p>
            <w:pPr>
              <w:spacing w:line="240" w:lineRule="exact"/>
              <w:jc w:val="center"/>
              <w:rPr>
                <w:rFonts w:ascii="仿宋" w:hAnsi="仿宋" w:eastAsia="仿宋" w:cs="仿宋"/>
                <w:szCs w:val="21"/>
              </w:rPr>
            </w:pPr>
          </w:p>
        </w:tc>
        <w:tc>
          <w:tcPr>
            <w:tcW w:w="1686" w:type="pct"/>
            <w:vAlign w:val="center"/>
          </w:tcPr>
          <w:p>
            <w:pPr>
              <w:spacing w:line="240" w:lineRule="exact"/>
              <w:jc w:val="center"/>
              <w:rPr>
                <w:rFonts w:ascii="仿宋" w:hAnsi="仿宋" w:eastAsia="仿宋" w:cs="仿宋"/>
                <w:szCs w:val="21"/>
              </w:rPr>
            </w:pPr>
            <w:r>
              <w:rPr>
                <w:rFonts w:hint="eastAsia" w:ascii="仿宋" w:hAnsi="仿宋" w:eastAsia="仿宋" w:cs="仿宋"/>
                <w:szCs w:val="21"/>
              </w:rPr>
              <w:t>《创新思维》、《创业融资》、</w:t>
            </w:r>
          </w:p>
          <w:p>
            <w:pPr>
              <w:spacing w:line="240" w:lineRule="exact"/>
              <w:jc w:val="center"/>
              <w:rPr>
                <w:rFonts w:ascii="仿宋" w:hAnsi="仿宋" w:eastAsia="仿宋" w:cs="仿宋"/>
                <w:szCs w:val="21"/>
              </w:rPr>
            </w:pPr>
            <w:r>
              <w:rPr>
                <w:rFonts w:hint="eastAsia" w:ascii="仿宋" w:hAnsi="仿宋" w:eastAsia="仿宋" w:cs="仿宋"/>
                <w:szCs w:val="21"/>
              </w:rPr>
              <w:t>《创意写作》等精品模块化课程</w:t>
            </w:r>
          </w:p>
        </w:tc>
        <w:tc>
          <w:tcPr>
            <w:tcW w:w="977" w:type="pct"/>
            <w:vAlign w:val="center"/>
          </w:tcPr>
          <w:p>
            <w:pPr>
              <w:spacing w:line="240" w:lineRule="exact"/>
              <w:jc w:val="center"/>
              <w:rPr>
                <w:rFonts w:ascii="仿宋" w:hAnsi="仿宋" w:eastAsia="仿宋" w:cs="仿宋"/>
                <w:szCs w:val="21"/>
              </w:rPr>
            </w:pPr>
            <w:r>
              <w:rPr>
                <w:rFonts w:hint="eastAsia" w:ascii="仿宋" w:hAnsi="仿宋" w:eastAsia="仿宋" w:cs="仿宋"/>
                <w:szCs w:val="21"/>
              </w:rPr>
              <w:t>全体学生</w:t>
            </w:r>
          </w:p>
          <w:p>
            <w:pPr>
              <w:spacing w:line="240" w:lineRule="exact"/>
              <w:jc w:val="center"/>
              <w:rPr>
                <w:rFonts w:ascii="仿宋" w:hAnsi="仿宋" w:eastAsia="仿宋" w:cs="仿宋"/>
                <w:szCs w:val="21"/>
              </w:rPr>
            </w:pPr>
            <w:r>
              <w:rPr>
                <w:rFonts w:hint="eastAsia" w:ascii="仿宋" w:hAnsi="仿宋" w:eastAsia="仿宋" w:cs="仿宋"/>
                <w:szCs w:val="21"/>
              </w:rPr>
              <w:t>（选修）</w:t>
            </w:r>
          </w:p>
        </w:tc>
        <w:tc>
          <w:tcPr>
            <w:tcW w:w="419" w:type="pct"/>
            <w:vAlign w:val="center"/>
          </w:tcPr>
          <w:p>
            <w:pPr>
              <w:spacing w:line="240" w:lineRule="exact"/>
              <w:jc w:val="center"/>
              <w:rPr>
                <w:rFonts w:ascii="仿宋" w:hAnsi="仿宋" w:eastAsia="仿宋" w:cs="仿宋"/>
                <w:szCs w:val="21"/>
              </w:rPr>
            </w:pPr>
            <w:r>
              <w:rPr>
                <w:rFonts w:hint="eastAsia" w:ascii="仿宋" w:hAnsi="仿宋" w:eastAsia="仿宋" w:cs="仿宋"/>
                <w:szCs w:val="21"/>
              </w:rPr>
              <w:t>若干</w:t>
            </w:r>
          </w:p>
        </w:tc>
        <w:tc>
          <w:tcPr>
            <w:tcW w:w="461" w:type="pct"/>
            <w:vAlign w:val="center"/>
          </w:tcPr>
          <w:p>
            <w:pPr>
              <w:spacing w:line="240" w:lineRule="exact"/>
              <w:jc w:val="center"/>
              <w:rPr>
                <w:rFonts w:ascii="仿宋" w:hAnsi="仿宋" w:eastAsia="仿宋" w:cs="仿宋"/>
                <w:szCs w:val="21"/>
              </w:rPr>
            </w:pPr>
            <w:r>
              <w:rPr>
                <w:rFonts w:hint="eastAsia" w:ascii="仿宋" w:hAnsi="仿宋" w:eastAsia="仿宋" w:cs="仿宋"/>
                <w:szCs w:val="21"/>
              </w:rPr>
              <w:t>1/门</w:t>
            </w:r>
          </w:p>
        </w:tc>
        <w:tc>
          <w:tcPr>
            <w:tcW w:w="689" w:type="pct"/>
            <w:vAlign w:val="center"/>
          </w:tcPr>
          <w:p>
            <w:pPr>
              <w:spacing w:line="240" w:lineRule="exact"/>
              <w:jc w:val="center"/>
              <w:rPr>
                <w:rFonts w:ascii="Calibri" w:hAnsi="Calibri" w:eastAsia="宋体" w:cs="Times New Roman"/>
              </w:rPr>
            </w:pPr>
            <w:r>
              <w:rPr>
                <w:rFonts w:hint="eastAsia" w:ascii="仿宋" w:hAnsi="仿宋" w:eastAsia="仿宋" w:cs="仿宋"/>
                <w:szCs w:val="21"/>
              </w:rPr>
              <w:t>相关教学单位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373" w:type="pct"/>
            <w:vMerge w:val="restart"/>
            <w:vAlign w:val="center"/>
          </w:tcPr>
          <w:p>
            <w:pPr>
              <w:spacing w:line="240" w:lineRule="exact"/>
              <w:jc w:val="center"/>
              <w:rPr>
                <w:rFonts w:ascii="仿宋" w:hAnsi="仿宋" w:eastAsia="仿宋" w:cs="仿宋"/>
                <w:color w:val="000000"/>
                <w:szCs w:val="21"/>
              </w:rPr>
            </w:pPr>
            <w:r>
              <w:rPr>
                <w:rFonts w:hint="eastAsia" w:ascii="仿宋" w:hAnsi="仿宋" w:eastAsia="仿宋" w:cs="仿宋"/>
                <w:color w:val="000000"/>
                <w:szCs w:val="21"/>
              </w:rPr>
              <w:t>专业</w:t>
            </w:r>
          </w:p>
          <w:p>
            <w:pPr>
              <w:spacing w:line="240" w:lineRule="exact"/>
              <w:jc w:val="center"/>
              <w:rPr>
                <w:rFonts w:ascii="仿宋" w:hAnsi="仿宋" w:eastAsia="仿宋" w:cs="仿宋"/>
                <w:color w:val="000000"/>
                <w:szCs w:val="21"/>
              </w:rPr>
            </w:pPr>
            <w:r>
              <w:rPr>
                <w:rFonts w:hint="eastAsia" w:ascii="仿宋" w:hAnsi="仿宋" w:eastAsia="仿宋" w:cs="仿宋"/>
                <w:color w:val="000000"/>
                <w:szCs w:val="21"/>
              </w:rPr>
              <w:t>课程</w:t>
            </w:r>
          </w:p>
        </w:tc>
        <w:tc>
          <w:tcPr>
            <w:tcW w:w="394" w:type="pct"/>
            <w:vAlign w:val="center"/>
          </w:tcPr>
          <w:p>
            <w:pPr>
              <w:spacing w:line="240" w:lineRule="exact"/>
              <w:jc w:val="center"/>
              <w:rPr>
                <w:rFonts w:ascii="仿宋" w:hAnsi="仿宋" w:eastAsia="仿宋" w:cs="仿宋"/>
                <w:color w:val="000000"/>
                <w:szCs w:val="21"/>
              </w:rPr>
            </w:pPr>
            <w:r>
              <w:rPr>
                <w:rFonts w:hint="eastAsia" w:ascii="仿宋" w:hAnsi="仿宋" w:eastAsia="仿宋" w:cs="仿宋"/>
                <w:color w:val="000000"/>
                <w:szCs w:val="21"/>
              </w:rPr>
              <w:t>专业基础</w:t>
            </w:r>
          </w:p>
        </w:tc>
        <w:tc>
          <w:tcPr>
            <w:tcW w:w="1686" w:type="pct"/>
            <w:vAlign w:val="center"/>
          </w:tcPr>
          <w:p>
            <w:pPr>
              <w:spacing w:line="240" w:lineRule="exact"/>
              <w:jc w:val="center"/>
              <w:rPr>
                <w:rFonts w:ascii="仿宋" w:hAnsi="仿宋" w:eastAsia="仿宋" w:cs="仿宋"/>
                <w:color w:val="000000"/>
                <w:szCs w:val="21"/>
              </w:rPr>
            </w:pPr>
            <w:r>
              <w:rPr>
                <w:rFonts w:hint="eastAsia" w:ascii="仿宋" w:hAnsi="仿宋" w:eastAsia="仿宋" w:cs="仿宋"/>
                <w:color w:val="000000"/>
                <w:szCs w:val="21"/>
              </w:rPr>
              <w:t>专业创新创业课程</w:t>
            </w:r>
          </w:p>
          <w:p>
            <w:pPr>
              <w:spacing w:line="240" w:lineRule="exact"/>
              <w:jc w:val="center"/>
              <w:rPr>
                <w:rFonts w:ascii="仿宋" w:hAnsi="仿宋" w:eastAsia="仿宋" w:cs="仿宋"/>
                <w:color w:val="000000"/>
                <w:szCs w:val="21"/>
              </w:rPr>
            </w:pPr>
            <w:r>
              <w:rPr>
                <w:rFonts w:hint="eastAsia" w:ascii="仿宋" w:hAnsi="仿宋" w:eastAsia="仿宋" w:cs="仿宋"/>
                <w:color w:val="000000"/>
                <w:szCs w:val="21"/>
              </w:rPr>
              <w:t>（课程实验、课程实习、</w:t>
            </w:r>
          </w:p>
          <w:p>
            <w:pPr>
              <w:spacing w:line="240" w:lineRule="exact"/>
              <w:jc w:val="center"/>
              <w:rPr>
                <w:rFonts w:ascii="仿宋" w:hAnsi="仿宋" w:eastAsia="仿宋" w:cs="仿宋"/>
                <w:b/>
                <w:color w:val="000000"/>
                <w:szCs w:val="21"/>
              </w:rPr>
            </w:pPr>
            <w:r>
              <w:rPr>
                <w:rFonts w:hint="eastAsia" w:ascii="仿宋" w:hAnsi="仿宋" w:eastAsia="仿宋" w:cs="仿宋"/>
                <w:color w:val="000000"/>
                <w:szCs w:val="21"/>
              </w:rPr>
              <w:t>专业实验）</w:t>
            </w:r>
          </w:p>
        </w:tc>
        <w:tc>
          <w:tcPr>
            <w:tcW w:w="977" w:type="pct"/>
            <w:vAlign w:val="center"/>
          </w:tcPr>
          <w:p>
            <w:pPr>
              <w:spacing w:line="240" w:lineRule="exact"/>
              <w:jc w:val="center"/>
              <w:rPr>
                <w:rFonts w:ascii="仿宋" w:hAnsi="仿宋" w:eastAsia="仿宋" w:cs="仿宋"/>
                <w:szCs w:val="21"/>
              </w:rPr>
            </w:pPr>
            <w:r>
              <w:rPr>
                <w:rFonts w:hint="eastAsia" w:ascii="仿宋" w:hAnsi="仿宋" w:eastAsia="仿宋" w:cs="仿宋"/>
                <w:szCs w:val="21"/>
              </w:rPr>
              <w:t>相关专业</w:t>
            </w:r>
          </w:p>
          <w:p>
            <w:pPr>
              <w:spacing w:line="240" w:lineRule="exact"/>
              <w:jc w:val="center"/>
              <w:rPr>
                <w:rFonts w:ascii="仿宋" w:hAnsi="仿宋" w:eastAsia="仿宋" w:cs="仿宋"/>
                <w:szCs w:val="21"/>
              </w:rPr>
            </w:pPr>
            <w:r>
              <w:rPr>
                <w:rFonts w:hint="eastAsia" w:ascii="仿宋" w:hAnsi="仿宋" w:eastAsia="仿宋" w:cs="仿宋"/>
                <w:szCs w:val="21"/>
              </w:rPr>
              <w:t>（必修）</w:t>
            </w:r>
          </w:p>
        </w:tc>
        <w:tc>
          <w:tcPr>
            <w:tcW w:w="419" w:type="pct"/>
            <w:vAlign w:val="center"/>
          </w:tcPr>
          <w:p>
            <w:pPr>
              <w:spacing w:line="240" w:lineRule="exact"/>
              <w:jc w:val="center"/>
              <w:rPr>
                <w:rFonts w:ascii="仿宋" w:hAnsi="仿宋" w:eastAsia="仿宋" w:cs="仿宋"/>
                <w:szCs w:val="21"/>
              </w:rPr>
            </w:pPr>
            <w:r>
              <w:rPr>
                <w:rFonts w:hint="eastAsia" w:ascii="仿宋" w:hAnsi="仿宋" w:eastAsia="仿宋" w:cs="仿宋"/>
                <w:szCs w:val="21"/>
              </w:rPr>
              <w:t>若干</w:t>
            </w:r>
          </w:p>
        </w:tc>
        <w:tc>
          <w:tcPr>
            <w:tcW w:w="461" w:type="pct"/>
            <w:vAlign w:val="center"/>
          </w:tcPr>
          <w:p>
            <w:pPr>
              <w:spacing w:line="240" w:lineRule="exact"/>
              <w:jc w:val="center"/>
              <w:rPr>
                <w:rFonts w:ascii="仿宋" w:hAnsi="仿宋" w:eastAsia="仿宋" w:cs="仿宋"/>
                <w:szCs w:val="21"/>
              </w:rPr>
            </w:pPr>
            <w:r>
              <w:rPr>
                <w:rFonts w:hint="eastAsia" w:ascii="仿宋" w:hAnsi="仿宋" w:eastAsia="仿宋" w:cs="仿宋"/>
                <w:szCs w:val="21"/>
              </w:rPr>
              <w:t>由各学院自定</w:t>
            </w:r>
          </w:p>
        </w:tc>
        <w:tc>
          <w:tcPr>
            <w:tcW w:w="689" w:type="pct"/>
            <w:vAlign w:val="center"/>
          </w:tcPr>
          <w:p>
            <w:pPr>
              <w:spacing w:line="240" w:lineRule="exact"/>
              <w:jc w:val="center"/>
              <w:rPr>
                <w:rFonts w:ascii="Calibri" w:hAnsi="Calibri" w:eastAsia="宋体" w:cs="Times New Roman"/>
              </w:rPr>
            </w:pPr>
            <w:r>
              <w:rPr>
                <w:rFonts w:hint="eastAsia" w:ascii="仿宋" w:hAnsi="仿宋" w:eastAsia="仿宋" w:cs="仿宋"/>
                <w:szCs w:val="21"/>
              </w:rPr>
              <w:t>各学院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73" w:type="pct"/>
            <w:vMerge w:val="continue"/>
            <w:vAlign w:val="center"/>
          </w:tcPr>
          <w:p>
            <w:pPr>
              <w:spacing w:line="240" w:lineRule="exact"/>
              <w:jc w:val="center"/>
              <w:rPr>
                <w:rFonts w:ascii="仿宋" w:hAnsi="仿宋" w:eastAsia="仿宋" w:cs="仿宋"/>
                <w:color w:val="000000"/>
                <w:szCs w:val="21"/>
              </w:rPr>
            </w:pPr>
          </w:p>
        </w:tc>
        <w:tc>
          <w:tcPr>
            <w:tcW w:w="394" w:type="pct"/>
            <w:vMerge w:val="restart"/>
            <w:vAlign w:val="center"/>
          </w:tcPr>
          <w:p>
            <w:pPr>
              <w:spacing w:line="240" w:lineRule="exact"/>
              <w:jc w:val="center"/>
              <w:rPr>
                <w:rFonts w:ascii="仿宋" w:hAnsi="仿宋" w:eastAsia="仿宋" w:cs="仿宋"/>
                <w:color w:val="000000"/>
                <w:szCs w:val="21"/>
              </w:rPr>
            </w:pPr>
            <w:r>
              <w:rPr>
                <w:rFonts w:hint="eastAsia" w:ascii="仿宋" w:hAnsi="仿宋" w:eastAsia="仿宋" w:cs="仿宋"/>
                <w:color w:val="000000"/>
                <w:szCs w:val="21"/>
              </w:rPr>
              <w:t>专业方向</w:t>
            </w:r>
          </w:p>
        </w:tc>
        <w:tc>
          <w:tcPr>
            <w:tcW w:w="1686" w:type="pct"/>
            <w:vAlign w:val="center"/>
          </w:tcPr>
          <w:p>
            <w:pPr>
              <w:spacing w:line="240" w:lineRule="exact"/>
              <w:jc w:val="center"/>
              <w:rPr>
                <w:rFonts w:ascii="仿宋" w:hAnsi="仿宋" w:eastAsia="仿宋" w:cs="仿宋"/>
                <w:color w:val="000000"/>
                <w:szCs w:val="21"/>
              </w:rPr>
            </w:pPr>
            <w:r>
              <w:rPr>
                <w:rFonts w:hint="eastAsia" w:ascii="仿宋" w:hAnsi="仿宋" w:eastAsia="仿宋" w:cs="仿宋"/>
                <w:szCs w:val="21"/>
              </w:rPr>
              <w:t>跨专业创新创业课程</w:t>
            </w:r>
          </w:p>
        </w:tc>
        <w:tc>
          <w:tcPr>
            <w:tcW w:w="977" w:type="pct"/>
            <w:vAlign w:val="center"/>
          </w:tcPr>
          <w:p>
            <w:pPr>
              <w:spacing w:line="240" w:lineRule="exact"/>
              <w:jc w:val="center"/>
              <w:rPr>
                <w:rFonts w:ascii="仿宋" w:hAnsi="仿宋" w:eastAsia="仿宋" w:cs="仿宋"/>
                <w:szCs w:val="21"/>
              </w:rPr>
            </w:pPr>
            <w:r>
              <w:rPr>
                <w:rFonts w:hint="eastAsia" w:ascii="仿宋" w:hAnsi="仿宋" w:eastAsia="仿宋" w:cs="仿宋"/>
                <w:szCs w:val="21"/>
              </w:rPr>
              <w:t>相关专业</w:t>
            </w:r>
          </w:p>
          <w:p>
            <w:pPr>
              <w:spacing w:line="240" w:lineRule="exact"/>
              <w:jc w:val="center"/>
              <w:rPr>
                <w:rFonts w:ascii="仿宋" w:hAnsi="仿宋" w:eastAsia="仿宋" w:cs="仿宋"/>
                <w:szCs w:val="21"/>
              </w:rPr>
            </w:pPr>
            <w:r>
              <w:rPr>
                <w:rFonts w:hint="eastAsia" w:ascii="仿宋" w:hAnsi="仿宋" w:eastAsia="仿宋" w:cs="仿宋"/>
                <w:szCs w:val="21"/>
              </w:rPr>
              <w:t>（选修）</w:t>
            </w:r>
          </w:p>
        </w:tc>
        <w:tc>
          <w:tcPr>
            <w:tcW w:w="419" w:type="pct"/>
            <w:vAlign w:val="center"/>
          </w:tcPr>
          <w:p>
            <w:pPr>
              <w:spacing w:line="240" w:lineRule="exact"/>
              <w:jc w:val="center"/>
              <w:rPr>
                <w:rFonts w:ascii="仿宋" w:hAnsi="仿宋" w:eastAsia="仿宋" w:cs="仿宋"/>
                <w:szCs w:val="21"/>
              </w:rPr>
            </w:pPr>
            <w:r>
              <w:rPr>
                <w:rFonts w:hint="eastAsia" w:ascii="仿宋" w:hAnsi="仿宋" w:eastAsia="仿宋" w:cs="仿宋"/>
                <w:szCs w:val="21"/>
              </w:rPr>
              <w:t>若干</w:t>
            </w:r>
          </w:p>
        </w:tc>
        <w:tc>
          <w:tcPr>
            <w:tcW w:w="461" w:type="pct"/>
            <w:vAlign w:val="center"/>
          </w:tcPr>
          <w:p>
            <w:pPr>
              <w:spacing w:line="240" w:lineRule="exact"/>
              <w:jc w:val="center"/>
              <w:rPr>
                <w:rFonts w:ascii="仿宋" w:hAnsi="仿宋" w:eastAsia="仿宋" w:cs="仿宋"/>
                <w:szCs w:val="21"/>
              </w:rPr>
            </w:pPr>
            <w:r>
              <w:rPr>
                <w:rFonts w:hint="eastAsia" w:ascii="仿宋" w:hAnsi="仿宋" w:eastAsia="仿宋" w:cs="仿宋"/>
                <w:szCs w:val="21"/>
              </w:rPr>
              <w:t>2-3</w:t>
            </w:r>
          </w:p>
        </w:tc>
        <w:tc>
          <w:tcPr>
            <w:tcW w:w="689" w:type="pct"/>
            <w:vAlign w:val="center"/>
          </w:tcPr>
          <w:p>
            <w:pPr>
              <w:spacing w:line="240" w:lineRule="exact"/>
              <w:jc w:val="center"/>
              <w:rPr>
                <w:rFonts w:ascii="仿宋" w:hAnsi="仿宋" w:eastAsia="仿宋" w:cs="仿宋"/>
                <w:szCs w:val="21"/>
              </w:rPr>
            </w:pPr>
            <w:r>
              <w:rPr>
                <w:rFonts w:hint="eastAsia" w:ascii="仿宋" w:hAnsi="仿宋" w:eastAsia="仿宋" w:cs="仿宋"/>
                <w:szCs w:val="21"/>
              </w:rPr>
              <w:t>相关教学单位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73" w:type="pct"/>
            <w:vMerge w:val="continue"/>
            <w:vAlign w:val="center"/>
          </w:tcPr>
          <w:p>
            <w:pPr>
              <w:spacing w:line="240" w:lineRule="exact"/>
              <w:jc w:val="center"/>
              <w:rPr>
                <w:rFonts w:ascii="仿宋" w:hAnsi="仿宋" w:eastAsia="仿宋" w:cs="仿宋"/>
                <w:szCs w:val="21"/>
              </w:rPr>
            </w:pPr>
          </w:p>
        </w:tc>
        <w:tc>
          <w:tcPr>
            <w:tcW w:w="394" w:type="pct"/>
            <w:vMerge w:val="continue"/>
            <w:vAlign w:val="center"/>
          </w:tcPr>
          <w:p>
            <w:pPr>
              <w:spacing w:line="240" w:lineRule="exact"/>
              <w:jc w:val="center"/>
              <w:rPr>
                <w:rFonts w:ascii="仿宋" w:hAnsi="仿宋" w:eastAsia="仿宋" w:cs="仿宋"/>
                <w:color w:val="FF0000"/>
                <w:szCs w:val="21"/>
              </w:rPr>
            </w:pPr>
          </w:p>
        </w:tc>
        <w:tc>
          <w:tcPr>
            <w:tcW w:w="1686" w:type="pct"/>
            <w:vAlign w:val="center"/>
          </w:tcPr>
          <w:p>
            <w:pPr>
              <w:spacing w:line="240" w:lineRule="exact"/>
              <w:jc w:val="center"/>
              <w:rPr>
                <w:rFonts w:ascii="仿宋" w:hAnsi="仿宋" w:eastAsia="仿宋" w:cs="仿宋"/>
                <w:szCs w:val="21"/>
              </w:rPr>
            </w:pPr>
            <w:r>
              <w:rPr>
                <w:rFonts w:hint="eastAsia" w:ascii="仿宋" w:hAnsi="仿宋" w:eastAsia="仿宋" w:cs="仿宋"/>
                <w:color w:val="000000"/>
                <w:szCs w:val="21"/>
              </w:rPr>
              <w:t>跨学科创新创业课程</w:t>
            </w:r>
          </w:p>
        </w:tc>
        <w:tc>
          <w:tcPr>
            <w:tcW w:w="977" w:type="pct"/>
            <w:vAlign w:val="center"/>
          </w:tcPr>
          <w:p>
            <w:pPr>
              <w:spacing w:line="240" w:lineRule="exact"/>
              <w:jc w:val="center"/>
              <w:rPr>
                <w:rFonts w:ascii="仿宋" w:hAnsi="仿宋" w:eastAsia="仿宋" w:cs="仿宋"/>
                <w:szCs w:val="21"/>
              </w:rPr>
            </w:pPr>
            <w:r>
              <w:rPr>
                <w:rFonts w:hint="eastAsia" w:ascii="仿宋" w:hAnsi="仿宋" w:eastAsia="仿宋" w:cs="仿宋"/>
                <w:szCs w:val="21"/>
              </w:rPr>
              <w:t>相关专业</w:t>
            </w:r>
          </w:p>
          <w:p>
            <w:pPr>
              <w:spacing w:line="240" w:lineRule="exact"/>
              <w:jc w:val="center"/>
              <w:rPr>
                <w:rFonts w:ascii="仿宋" w:hAnsi="仿宋" w:eastAsia="仿宋" w:cs="仿宋"/>
                <w:szCs w:val="21"/>
              </w:rPr>
            </w:pPr>
            <w:r>
              <w:rPr>
                <w:rFonts w:hint="eastAsia" w:ascii="仿宋" w:hAnsi="仿宋" w:eastAsia="仿宋" w:cs="仿宋"/>
                <w:szCs w:val="21"/>
              </w:rPr>
              <w:t>（选修）</w:t>
            </w:r>
          </w:p>
        </w:tc>
        <w:tc>
          <w:tcPr>
            <w:tcW w:w="419" w:type="pct"/>
            <w:vAlign w:val="center"/>
          </w:tcPr>
          <w:p>
            <w:pPr>
              <w:spacing w:line="240" w:lineRule="exact"/>
              <w:jc w:val="center"/>
              <w:rPr>
                <w:rFonts w:ascii="仿宋" w:hAnsi="仿宋" w:eastAsia="仿宋" w:cs="仿宋"/>
                <w:szCs w:val="21"/>
              </w:rPr>
            </w:pPr>
            <w:r>
              <w:rPr>
                <w:rFonts w:hint="eastAsia" w:ascii="仿宋" w:hAnsi="仿宋" w:eastAsia="仿宋" w:cs="仿宋"/>
                <w:szCs w:val="21"/>
              </w:rPr>
              <w:t>若干</w:t>
            </w:r>
          </w:p>
        </w:tc>
        <w:tc>
          <w:tcPr>
            <w:tcW w:w="461" w:type="pct"/>
            <w:vAlign w:val="center"/>
          </w:tcPr>
          <w:p>
            <w:pPr>
              <w:spacing w:line="240" w:lineRule="exact"/>
              <w:jc w:val="center"/>
              <w:rPr>
                <w:rFonts w:ascii="仿宋" w:hAnsi="仿宋" w:eastAsia="仿宋" w:cs="仿宋"/>
                <w:szCs w:val="21"/>
              </w:rPr>
            </w:pPr>
            <w:r>
              <w:rPr>
                <w:rFonts w:hint="eastAsia" w:ascii="仿宋" w:hAnsi="仿宋" w:eastAsia="仿宋" w:cs="仿宋"/>
                <w:szCs w:val="21"/>
              </w:rPr>
              <w:t>2-3</w:t>
            </w:r>
          </w:p>
        </w:tc>
        <w:tc>
          <w:tcPr>
            <w:tcW w:w="689" w:type="pct"/>
            <w:vAlign w:val="center"/>
          </w:tcPr>
          <w:p>
            <w:pPr>
              <w:spacing w:line="240" w:lineRule="exact"/>
              <w:jc w:val="center"/>
              <w:rPr>
                <w:rFonts w:ascii="Calibri" w:hAnsi="Calibri" w:eastAsia="宋体" w:cs="Times New Roman"/>
              </w:rPr>
            </w:pPr>
            <w:r>
              <w:rPr>
                <w:rFonts w:hint="eastAsia" w:ascii="仿宋" w:hAnsi="仿宋" w:eastAsia="仿宋" w:cs="仿宋"/>
                <w:szCs w:val="21"/>
              </w:rPr>
              <w:t>相关教学单位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73" w:type="pct"/>
            <w:vMerge w:val="continue"/>
            <w:vAlign w:val="center"/>
          </w:tcPr>
          <w:p>
            <w:pPr>
              <w:spacing w:line="240" w:lineRule="exact"/>
              <w:jc w:val="center"/>
              <w:rPr>
                <w:rFonts w:ascii="仿宋" w:hAnsi="仿宋" w:eastAsia="仿宋" w:cs="仿宋"/>
                <w:szCs w:val="21"/>
              </w:rPr>
            </w:pPr>
          </w:p>
        </w:tc>
        <w:tc>
          <w:tcPr>
            <w:tcW w:w="394" w:type="pct"/>
            <w:vMerge w:val="restart"/>
            <w:vAlign w:val="center"/>
          </w:tcPr>
          <w:p>
            <w:pPr>
              <w:spacing w:line="240" w:lineRule="exact"/>
              <w:jc w:val="center"/>
              <w:rPr>
                <w:rFonts w:ascii="仿宋" w:hAnsi="仿宋" w:eastAsia="仿宋" w:cs="仿宋"/>
                <w:color w:val="000000"/>
                <w:szCs w:val="21"/>
              </w:rPr>
            </w:pPr>
            <w:r>
              <w:rPr>
                <w:rFonts w:hint="eastAsia" w:ascii="仿宋" w:hAnsi="仿宋" w:eastAsia="仿宋" w:cs="仿宋"/>
                <w:color w:val="000000"/>
                <w:szCs w:val="21"/>
              </w:rPr>
              <w:t>综合运用</w:t>
            </w:r>
          </w:p>
        </w:tc>
        <w:tc>
          <w:tcPr>
            <w:tcW w:w="1686" w:type="pct"/>
            <w:vAlign w:val="center"/>
          </w:tcPr>
          <w:p>
            <w:pPr>
              <w:spacing w:line="240" w:lineRule="exact"/>
              <w:jc w:val="center"/>
              <w:rPr>
                <w:rFonts w:ascii="仿宋" w:hAnsi="仿宋" w:eastAsia="仿宋" w:cs="仿宋"/>
                <w:color w:val="000000"/>
                <w:szCs w:val="21"/>
              </w:rPr>
            </w:pPr>
            <w:r>
              <w:rPr>
                <w:rFonts w:hint="eastAsia" w:ascii="仿宋" w:hAnsi="仿宋" w:eastAsia="仿宋" w:cs="仿宋"/>
                <w:color w:val="000000"/>
                <w:szCs w:val="21"/>
              </w:rPr>
              <w:t>经管类跨专业综合实验课程、</w:t>
            </w:r>
          </w:p>
          <w:p>
            <w:pPr>
              <w:spacing w:line="240" w:lineRule="exact"/>
              <w:jc w:val="center"/>
              <w:rPr>
                <w:rFonts w:ascii="仿宋" w:hAnsi="仿宋" w:eastAsia="仿宋" w:cs="仿宋"/>
                <w:color w:val="000000"/>
                <w:szCs w:val="21"/>
              </w:rPr>
            </w:pPr>
            <w:r>
              <w:rPr>
                <w:rFonts w:hint="eastAsia" w:ascii="仿宋" w:hAnsi="仿宋" w:eastAsia="仿宋" w:cs="仿宋"/>
                <w:color w:val="000000"/>
                <w:szCs w:val="21"/>
              </w:rPr>
              <w:t>专业实践、</w:t>
            </w:r>
          </w:p>
        </w:tc>
        <w:tc>
          <w:tcPr>
            <w:tcW w:w="977" w:type="pct"/>
            <w:vAlign w:val="center"/>
          </w:tcPr>
          <w:p>
            <w:pPr>
              <w:spacing w:line="240" w:lineRule="exact"/>
              <w:jc w:val="center"/>
              <w:rPr>
                <w:rFonts w:ascii="仿宋" w:hAnsi="仿宋" w:eastAsia="仿宋" w:cs="仿宋"/>
                <w:szCs w:val="21"/>
              </w:rPr>
            </w:pPr>
            <w:r>
              <w:rPr>
                <w:rFonts w:hint="eastAsia" w:ascii="仿宋" w:hAnsi="仿宋" w:eastAsia="仿宋" w:cs="仿宋"/>
                <w:szCs w:val="21"/>
              </w:rPr>
              <w:t>相关专业</w:t>
            </w:r>
          </w:p>
          <w:p>
            <w:pPr>
              <w:spacing w:line="240" w:lineRule="exact"/>
              <w:jc w:val="center"/>
              <w:rPr>
                <w:rFonts w:ascii="仿宋" w:hAnsi="仿宋" w:eastAsia="仿宋" w:cs="仿宋"/>
                <w:szCs w:val="21"/>
              </w:rPr>
            </w:pPr>
            <w:r>
              <w:rPr>
                <w:rFonts w:hint="eastAsia" w:ascii="仿宋" w:hAnsi="仿宋" w:eastAsia="仿宋" w:cs="仿宋"/>
                <w:szCs w:val="21"/>
              </w:rPr>
              <w:t>（必修）</w:t>
            </w:r>
          </w:p>
        </w:tc>
        <w:tc>
          <w:tcPr>
            <w:tcW w:w="419" w:type="pct"/>
            <w:vAlign w:val="center"/>
          </w:tcPr>
          <w:p>
            <w:pPr>
              <w:spacing w:line="240" w:lineRule="exact"/>
              <w:jc w:val="center"/>
              <w:rPr>
                <w:rFonts w:ascii="仿宋" w:hAnsi="仿宋" w:eastAsia="仿宋" w:cs="仿宋"/>
                <w:szCs w:val="21"/>
              </w:rPr>
            </w:pPr>
            <w:r>
              <w:rPr>
                <w:rFonts w:hint="eastAsia" w:ascii="仿宋" w:hAnsi="仿宋" w:eastAsia="仿宋" w:cs="仿宋"/>
                <w:spacing w:val="-6"/>
                <w:szCs w:val="21"/>
              </w:rPr>
              <w:t>/</w:t>
            </w:r>
          </w:p>
        </w:tc>
        <w:tc>
          <w:tcPr>
            <w:tcW w:w="461" w:type="pct"/>
            <w:vAlign w:val="center"/>
          </w:tcPr>
          <w:p>
            <w:pPr>
              <w:spacing w:line="240" w:lineRule="exact"/>
              <w:jc w:val="center"/>
              <w:rPr>
                <w:rFonts w:ascii="仿宋" w:hAnsi="仿宋" w:eastAsia="仿宋" w:cs="仿宋"/>
                <w:szCs w:val="21"/>
              </w:rPr>
            </w:pPr>
            <w:r>
              <w:rPr>
                <w:rFonts w:hint="eastAsia" w:ascii="仿宋" w:hAnsi="仿宋" w:eastAsia="仿宋" w:cs="仿宋"/>
                <w:spacing w:val="-6"/>
                <w:szCs w:val="21"/>
              </w:rPr>
              <w:t>/</w:t>
            </w:r>
          </w:p>
        </w:tc>
        <w:tc>
          <w:tcPr>
            <w:tcW w:w="689" w:type="pct"/>
            <w:vAlign w:val="center"/>
          </w:tcPr>
          <w:p>
            <w:pPr>
              <w:spacing w:line="240" w:lineRule="exact"/>
              <w:jc w:val="center"/>
              <w:rPr>
                <w:rFonts w:ascii="仿宋" w:hAnsi="仿宋" w:eastAsia="仿宋" w:cs="仿宋"/>
                <w:szCs w:val="21"/>
              </w:rPr>
            </w:pPr>
            <w:r>
              <w:rPr>
                <w:rFonts w:hint="eastAsia" w:ascii="仿宋" w:hAnsi="仿宋" w:eastAsia="仿宋" w:cs="仿宋"/>
                <w:szCs w:val="21"/>
              </w:rPr>
              <w:t>相关教学单位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73" w:type="pct"/>
            <w:vMerge w:val="continue"/>
            <w:vAlign w:val="center"/>
          </w:tcPr>
          <w:p>
            <w:pPr>
              <w:spacing w:line="240" w:lineRule="exact"/>
              <w:jc w:val="center"/>
              <w:rPr>
                <w:rFonts w:ascii="仿宋" w:hAnsi="仿宋" w:eastAsia="仿宋" w:cs="仿宋"/>
                <w:szCs w:val="21"/>
              </w:rPr>
            </w:pPr>
          </w:p>
        </w:tc>
        <w:tc>
          <w:tcPr>
            <w:tcW w:w="394" w:type="pct"/>
            <w:vMerge w:val="continue"/>
            <w:vAlign w:val="center"/>
          </w:tcPr>
          <w:p>
            <w:pPr>
              <w:spacing w:line="240" w:lineRule="exact"/>
              <w:jc w:val="center"/>
              <w:rPr>
                <w:rFonts w:ascii="仿宋" w:hAnsi="仿宋" w:eastAsia="仿宋" w:cs="仿宋"/>
                <w:color w:val="000000"/>
                <w:szCs w:val="21"/>
              </w:rPr>
            </w:pPr>
          </w:p>
        </w:tc>
        <w:tc>
          <w:tcPr>
            <w:tcW w:w="1686" w:type="pct"/>
            <w:vAlign w:val="center"/>
          </w:tcPr>
          <w:p>
            <w:pPr>
              <w:spacing w:line="240" w:lineRule="exact"/>
              <w:jc w:val="center"/>
              <w:rPr>
                <w:rFonts w:ascii="仿宋" w:hAnsi="仿宋" w:eastAsia="仿宋" w:cs="仿宋"/>
                <w:color w:val="000000"/>
                <w:szCs w:val="21"/>
              </w:rPr>
            </w:pPr>
            <w:r>
              <w:rPr>
                <w:rFonts w:hint="eastAsia" w:ascii="仿宋" w:hAnsi="仿宋" w:eastAsia="仿宋" w:cs="仿宋"/>
                <w:color w:val="000000"/>
                <w:szCs w:val="21"/>
              </w:rPr>
              <w:t>学年论文、</w:t>
            </w:r>
          </w:p>
          <w:p>
            <w:pPr>
              <w:spacing w:line="240" w:lineRule="exact"/>
              <w:jc w:val="center"/>
              <w:rPr>
                <w:rFonts w:ascii="仿宋" w:hAnsi="仿宋" w:eastAsia="仿宋" w:cs="仿宋"/>
                <w:color w:val="000000"/>
                <w:szCs w:val="21"/>
              </w:rPr>
            </w:pPr>
            <w:r>
              <w:rPr>
                <w:rFonts w:hint="eastAsia" w:ascii="仿宋" w:hAnsi="仿宋" w:eastAsia="仿宋" w:cs="仿宋"/>
                <w:color w:val="000000"/>
                <w:szCs w:val="21"/>
              </w:rPr>
              <w:t>毕业实习、毕业论文（设计）</w:t>
            </w:r>
          </w:p>
        </w:tc>
        <w:tc>
          <w:tcPr>
            <w:tcW w:w="977" w:type="pct"/>
            <w:vAlign w:val="center"/>
          </w:tcPr>
          <w:p>
            <w:pPr>
              <w:spacing w:line="240" w:lineRule="exact"/>
              <w:jc w:val="center"/>
              <w:rPr>
                <w:rFonts w:ascii="仿宋" w:hAnsi="仿宋" w:eastAsia="仿宋" w:cs="仿宋"/>
                <w:szCs w:val="21"/>
              </w:rPr>
            </w:pPr>
            <w:r>
              <w:rPr>
                <w:rFonts w:hint="eastAsia" w:ascii="仿宋" w:hAnsi="仿宋" w:eastAsia="仿宋" w:cs="仿宋"/>
                <w:szCs w:val="21"/>
              </w:rPr>
              <w:t>全体学生</w:t>
            </w:r>
          </w:p>
          <w:p>
            <w:pPr>
              <w:spacing w:line="240" w:lineRule="exact"/>
              <w:jc w:val="center"/>
              <w:rPr>
                <w:rFonts w:ascii="仿宋" w:hAnsi="仿宋" w:eastAsia="仿宋" w:cs="仿宋"/>
                <w:szCs w:val="21"/>
              </w:rPr>
            </w:pPr>
            <w:r>
              <w:rPr>
                <w:rFonts w:hint="eastAsia" w:ascii="仿宋" w:hAnsi="仿宋" w:eastAsia="仿宋" w:cs="仿宋"/>
                <w:szCs w:val="21"/>
              </w:rPr>
              <w:t>（必修）</w:t>
            </w:r>
          </w:p>
        </w:tc>
        <w:tc>
          <w:tcPr>
            <w:tcW w:w="419" w:type="pct"/>
            <w:vAlign w:val="center"/>
          </w:tcPr>
          <w:p>
            <w:pPr>
              <w:spacing w:line="240" w:lineRule="exact"/>
              <w:jc w:val="center"/>
              <w:rPr>
                <w:rFonts w:ascii="仿宋" w:hAnsi="仿宋" w:eastAsia="仿宋" w:cs="仿宋"/>
                <w:szCs w:val="21"/>
              </w:rPr>
            </w:pPr>
            <w:r>
              <w:rPr>
                <w:rFonts w:hint="eastAsia" w:ascii="仿宋" w:hAnsi="仿宋" w:eastAsia="仿宋" w:cs="仿宋"/>
                <w:spacing w:val="-6"/>
                <w:szCs w:val="21"/>
              </w:rPr>
              <w:t>/</w:t>
            </w:r>
          </w:p>
        </w:tc>
        <w:tc>
          <w:tcPr>
            <w:tcW w:w="461" w:type="pct"/>
            <w:vAlign w:val="center"/>
          </w:tcPr>
          <w:p>
            <w:pPr>
              <w:spacing w:line="240" w:lineRule="exact"/>
              <w:jc w:val="center"/>
              <w:rPr>
                <w:rFonts w:ascii="仿宋" w:hAnsi="仿宋" w:eastAsia="仿宋" w:cs="仿宋"/>
                <w:szCs w:val="21"/>
              </w:rPr>
            </w:pPr>
            <w:r>
              <w:rPr>
                <w:rFonts w:hint="eastAsia" w:ascii="仿宋" w:hAnsi="仿宋" w:eastAsia="仿宋" w:cs="仿宋"/>
                <w:spacing w:val="-6"/>
                <w:szCs w:val="21"/>
              </w:rPr>
              <w:t>/</w:t>
            </w:r>
          </w:p>
        </w:tc>
        <w:tc>
          <w:tcPr>
            <w:tcW w:w="689" w:type="pct"/>
            <w:vAlign w:val="center"/>
          </w:tcPr>
          <w:p>
            <w:pPr>
              <w:spacing w:line="240" w:lineRule="exact"/>
              <w:jc w:val="center"/>
              <w:rPr>
                <w:rFonts w:ascii="仿宋" w:hAnsi="仿宋" w:eastAsia="仿宋" w:cs="仿宋"/>
                <w:szCs w:val="21"/>
              </w:rPr>
            </w:pPr>
            <w:r>
              <w:rPr>
                <w:rFonts w:hint="eastAsia" w:ascii="仿宋" w:hAnsi="仿宋" w:eastAsia="仿宋" w:cs="仿宋"/>
                <w:szCs w:val="21"/>
              </w:rPr>
              <w:t>各学院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73" w:type="pct"/>
            <w:vMerge w:val="restart"/>
            <w:vAlign w:val="center"/>
          </w:tcPr>
          <w:p>
            <w:pPr>
              <w:spacing w:line="240" w:lineRule="exact"/>
              <w:jc w:val="center"/>
              <w:rPr>
                <w:rFonts w:ascii="仿宋" w:hAnsi="仿宋" w:eastAsia="仿宋" w:cs="仿宋"/>
                <w:color w:val="000000"/>
                <w:szCs w:val="21"/>
              </w:rPr>
            </w:pPr>
            <w:r>
              <w:rPr>
                <w:rFonts w:hint="eastAsia" w:ascii="仿宋" w:hAnsi="仿宋" w:eastAsia="仿宋" w:cs="仿宋"/>
                <w:color w:val="000000"/>
                <w:szCs w:val="21"/>
              </w:rPr>
              <w:t>开放式</w:t>
            </w:r>
          </w:p>
          <w:p>
            <w:pPr>
              <w:spacing w:line="240" w:lineRule="exact"/>
              <w:jc w:val="center"/>
              <w:rPr>
                <w:rFonts w:ascii="仿宋" w:hAnsi="仿宋" w:eastAsia="仿宋" w:cs="仿宋"/>
                <w:color w:val="000000"/>
                <w:szCs w:val="21"/>
              </w:rPr>
            </w:pPr>
            <w:r>
              <w:rPr>
                <w:rFonts w:hint="eastAsia" w:ascii="仿宋" w:hAnsi="仿宋" w:eastAsia="仿宋" w:cs="仿宋"/>
                <w:color w:val="000000"/>
                <w:szCs w:val="21"/>
              </w:rPr>
              <w:t>课程</w:t>
            </w:r>
          </w:p>
          <w:p>
            <w:pPr>
              <w:spacing w:line="240" w:lineRule="exact"/>
              <w:jc w:val="center"/>
              <w:rPr>
                <w:rFonts w:ascii="仿宋" w:hAnsi="仿宋" w:eastAsia="仿宋" w:cs="仿宋"/>
                <w:color w:val="000000"/>
                <w:szCs w:val="21"/>
              </w:rPr>
            </w:pPr>
            <w:r>
              <w:rPr>
                <w:rFonts w:hint="eastAsia" w:ascii="仿宋" w:hAnsi="仿宋" w:eastAsia="仿宋" w:cs="仿宋"/>
                <w:color w:val="000000"/>
                <w:szCs w:val="21"/>
              </w:rPr>
              <w:t>（项目）</w:t>
            </w:r>
          </w:p>
        </w:tc>
        <w:tc>
          <w:tcPr>
            <w:tcW w:w="394" w:type="pct"/>
            <w:vAlign w:val="center"/>
          </w:tcPr>
          <w:p>
            <w:pPr>
              <w:spacing w:line="240" w:lineRule="exact"/>
              <w:jc w:val="center"/>
              <w:rPr>
                <w:rFonts w:ascii="仿宋" w:hAnsi="仿宋" w:eastAsia="仿宋" w:cs="仿宋"/>
                <w:color w:val="000000"/>
                <w:szCs w:val="21"/>
              </w:rPr>
            </w:pPr>
            <w:r>
              <w:rPr>
                <w:rFonts w:hint="eastAsia" w:ascii="仿宋" w:hAnsi="仿宋" w:eastAsia="仿宋" w:cs="仿宋"/>
                <w:color w:val="000000"/>
                <w:szCs w:val="21"/>
              </w:rPr>
              <w:t>创新创业</w:t>
            </w:r>
          </w:p>
          <w:p>
            <w:pPr>
              <w:spacing w:line="240" w:lineRule="exact"/>
              <w:jc w:val="center"/>
              <w:rPr>
                <w:rFonts w:ascii="仿宋" w:hAnsi="仿宋" w:eastAsia="仿宋" w:cs="仿宋"/>
                <w:color w:val="000000"/>
                <w:szCs w:val="21"/>
              </w:rPr>
            </w:pPr>
            <w:r>
              <w:rPr>
                <w:rFonts w:hint="eastAsia" w:ascii="仿宋" w:hAnsi="仿宋" w:eastAsia="仿宋" w:cs="仿宋"/>
                <w:color w:val="000000"/>
                <w:szCs w:val="21"/>
              </w:rPr>
              <w:t>实践项目</w:t>
            </w:r>
          </w:p>
        </w:tc>
        <w:tc>
          <w:tcPr>
            <w:tcW w:w="1686" w:type="pct"/>
            <w:vAlign w:val="center"/>
          </w:tcPr>
          <w:p>
            <w:pPr>
              <w:spacing w:line="240" w:lineRule="exact"/>
              <w:jc w:val="center"/>
              <w:rPr>
                <w:rFonts w:ascii="仿宋" w:hAnsi="仿宋" w:eastAsia="仿宋" w:cs="仿宋"/>
                <w:color w:val="000000"/>
                <w:szCs w:val="21"/>
              </w:rPr>
            </w:pPr>
            <w:r>
              <w:rPr>
                <w:rFonts w:hint="eastAsia" w:ascii="仿宋" w:hAnsi="仿宋" w:eastAsia="仿宋" w:cs="仿宋"/>
                <w:color w:val="000000"/>
                <w:szCs w:val="21"/>
              </w:rPr>
              <w:t>参照《广东财经大学开放式课程（项目）学分管理办法》</w:t>
            </w:r>
          </w:p>
        </w:tc>
        <w:tc>
          <w:tcPr>
            <w:tcW w:w="977" w:type="pct"/>
            <w:vAlign w:val="center"/>
          </w:tcPr>
          <w:p>
            <w:pPr>
              <w:spacing w:line="240" w:lineRule="exact"/>
              <w:jc w:val="center"/>
              <w:rPr>
                <w:rFonts w:ascii="仿宋" w:hAnsi="仿宋" w:eastAsia="仿宋" w:cs="仿宋"/>
                <w:spacing w:val="-6"/>
                <w:szCs w:val="21"/>
              </w:rPr>
            </w:pPr>
            <w:r>
              <w:rPr>
                <w:rFonts w:hint="eastAsia" w:ascii="仿宋" w:hAnsi="仿宋" w:eastAsia="仿宋" w:cs="仿宋"/>
                <w:spacing w:val="-6"/>
                <w:szCs w:val="21"/>
              </w:rPr>
              <w:t>全体学生</w:t>
            </w:r>
          </w:p>
          <w:p>
            <w:pPr>
              <w:spacing w:line="240" w:lineRule="exact"/>
              <w:jc w:val="center"/>
              <w:rPr>
                <w:rFonts w:ascii="仿宋" w:hAnsi="仿宋" w:eastAsia="仿宋" w:cs="仿宋"/>
                <w:spacing w:val="-6"/>
                <w:szCs w:val="21"/>
              </w:rPr>
            </w:pPr>
            <w:r>
              <w:rPr>
                <w:rFonts w:hint="eastAsia" w:ascii="仿宋" w:hAnsi="仿宋" w:eastAsia="仿宋" w:cs="仿宋"/>
                <w:spacing w:val="-6"/>
                <w:szCs w:val="21"/>
              </w:rPr>
              <w:t>（课程替代）</w:t>
            </w:r>
          </w:p>
        </w:tc>
        <w:tc>
          <w:tcPr>
            <w:tcW w:w="419" w:type="pct"/>
            <w:vAlign w:val="center"/>
          </w:tcPr>
          <w:p>
            <w:pPr>
              <w:spacing w:line="240" w:lineRule="exact"/>
              <w:jc w:val="center"/>
              <w:rPr>
                <w:rFonts w:ascii="仿宋" w:hAnsi="仿宋" w:eastAsia="仿宋" w:cs="仿宋"/>
                <w:spacing w:val="-6"/>
                <w:szCs w:val="21"/>
              </w:rPr>
            </w:pPr>
            <w:r>
              <w:rPr>
                <w:rFonts w:hint="eastAsia" w:ascii="仿宋" w:hAnsi="仿宋" w:eastAsia="仿宋" w:cs="仿宋"/>
                <w:spacing w:val="-6"/>
                <w:szCs w:val="21"/>
              </w:rPr>
              <w:t>若干</w:t>
            </w:r>
          </w:p>
        </w:tc>
        <w:tc>
          <w:tcPr>
            <w:tcW w:w="461" w:type="pct"/>
            <w:vAlign w:val="center"/>
          </w:tcPr>
          <w:p>
            <w:pPr>
              <w:spacing w:line="240" w:lineRule="exact"/>
              <w:jc w:val="center"/>
              <w:rPr>
                <w:rFonts w:ascii="仿宋" w:hAnsi="仿宋" w:eastAsia="仿宋" w:cs="仿宋"/>
                <w:spacing w:val="-6"/>
                <w:szCs w:val="21"/>
              </w:rPr>
            </w:pPr>
            <w:r>
              <w:rPr>
                <w:rFonts w:hint="eastAsia" w:ascii="仿宋" w:hAnsi="仿宋" w:eastAsia="仿宋" w:cs="仿宋"/>
                <w:spacing w:val="-6"/>
                <w:szCs w:val="21"/>
              </w:rPr>
              <w:t>/</w:t>
            </w:r>
          </w:p>
        </w:tc>
        <w:tc>
          <w:tcPr>
            <w:tcW w:w="689" w:type="pct"/>
            <w:vAlign w:val="center"/>
          </w:tcPr>
          <w:p>
            <w:pPr>
              <w:spacing w:line="240" w:lineRule="exact"/>
              <w:jc w:val="center"/>
              <w:rPr>
                <w:rFonts w:ascii="Calibri" w:hAnsi="Calibri" w:eastAsia="宋体" w:cs="Times New Roman"/>
              </w:rPr>
            </w:pPr>
            <w:r>
              <w:rPr>
                <w:rFonts w:hint="eastAsia" w:ascii="仿宋" w:hAnsi="仿宋" w:eastAsia="仿宋" w:cs="仿宋"/>
                <w:spacing w:val="-6"/>
                <w:szCs w:val="21"/>
              </w:rPr>
              <w:t>校团委等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373" w:type="pct"/>
            <w:vMerge w:val="continue"/>
            <w:vAlign w:val="center"/>
          </w:tcPr>
          <w:p>
            <w:pPr>
              <w:spacing w:line="240" w:lineRule="exact"/>
              <w:jc w:val="center"/>
              <w:rPr>
                <w:rFonts w:ascii="仿宋" w:hAnsi="仿宋" w:eastAsia="仿宋" w:cs="仿宋"/>
                <w:color w:val="000000"/>
                <w:szCs w:val="21"/>
              </w:rPr>
            </w:pPr>
          </w:p>
        </w:tc>
        <w:tc>
          <w:tcPr>
            <w:tcW w:w="394" w:type="pct"/>
            <w:vAlign w:val="center"/>
          </w:tcPr>
          <w:p>
            <w:pPr>
              <w:spacing w:line="240" w:lineRule="exact"/>
              <w:jc w:val="center"/>
              <w:rPr>
                <w:rFonts w:ascii="仿宋" w:hAnsi="仿宋" w:eastAsia="仿宋" w:cs="仿宋"/>
                <w:color w:val="000000"/>
                <w:szCs w:val="21"/>
              </w:rPr>
            </w:pPr>
            <w:r>
              <w:rPr>
                <w:rFonts w:hint="eastAsia" w:ascii="仿宋" w:hAnsi="仿宋" w:eastAsia="仿宋" w:cs="仿宋"/>
                <w:color w:val="000000"/>
                <w:szCs w:val="21"/>
              </w:rPr>
              <w:t>创业教育慕课</w:t>
            </w:r>
          </w:p>
        </w:tc>
        <w:tc>
          <w:tcPr>
            <w:tcW w:w="1686" w:type="pct"/>
            <w:vAlign w:val="center"/>
          </w:tcPr>
          <w:p>
            <w:pPr>
              <w:spacing w:line="240" w:lineRule="exact"/>
              <w:jc w:val="center"/>
              <w:rPr>
                <w:rFonts w:ascii="仿宋" w:hAnsi="仿宋" w:eastAsia="仿宋" w:cs="仿宋"/>
                <w:color w:val="000000"/>
                <w:szCs w:val="21"/>
              </w:rPr>
            </w:pPr>
            <w:r>
              <w:rPr>
                <w:rFonts w:hint="eastAsia" w:ascii="仿宋" w:hAnsi="仿宋" w:eastAsia="仿宋" w:cs="仿宋"/>
                <w:color w:val="000000"/>
                <w:szCs w:val="21"/>
              </w:rPr>
              <w:t>引进或认定全球知名院校</w:t>
            </w:r>
          </w:p>
          <w:p>
            <w:pPr>
              <w:spacing w:line="240" w:lineRule="exact"/>
              <w:jc w:val="center"/>
              <w:rPr>
                <w:rFonts w:ascii="仿宋" w:hAnsi="仿宋" w:eastAsia="仿宋" w:cs="仿宋"/>
                <w:color w:val="000000"/>
                <w:szCs w:val="21"/>
              </w:rPr>
            </w:pPr>
            <w:r>
              <w:rPr>
                <w:rFonts w:hint="eastAsia" w:ascii="仿宋" w:hAnsi="仿宋" w:eastAsia="仿宋" w:cs="仿宋"/>
                <w:color w:val="000000"/>
                <w:szCs w:val="21"/>
              </w:rPr>
              <w:t>创业教育慕课</w:t>
            </w:r>
          </w:p>
        </w:tc>
        <w:tc>
          <w:tcPr>
            <w:tcW w:w="977" w:type="pct"/>
            <w:vAlign w:val="center"/>
          </w:tcPr>
          <w:p>
            <w:pPr>
              <w:spacing w:line="240" w:lineRule="exact"/>
              <w:jc w:val="center"/>
              <w:rPr>
                <w:rFonts w:ascii="仿宋" w:hAnsi="仿宋" w:eastAsia="仿宋" w:cs="仿宋"/>
                <w:spacing w:val="-6"/>
                <w:szCs w:val="21"/>
              </w:rPr>
            </w:pPr>
            <w:r>
              <w:rPr>
                <w:rFonts w:hint="eastAsia" w:ascii="仿宋" w:hAnsi="仿宋" w:eastAsia="仿宋" w:cs="仿宋"/>
                <w:spacing w:val="-6"/>
                <w:szCs w:val="21"/>
              </w:rPr>
              <w:t>全体学生</w:t>
            </w:r>
          </w:p>
          <w:p>
            <w:pPr>
              <w:spacing w:line="240" w:lineRule="exact"/>
              <w:jc w:val="center"/>
              <w:rPr>
                <w:rFonts w:ascii="仿宋" w:hAnsi="仿宋" w:eastAsia="仿宋" w:cs="仿宋"/>
                <w:spacing w:val="-6"/>
                <w:szCs w:val="21"/>
              </w:rPr>
            </w:pPr>
            <w:r>
              <w:rPr>
                <w:rFonts w:hint="eastAsia" w:ascii="仿宋" w:hAnsi="仿宋" w:eastAsia="仿宋" w:cs="仿宋"/>
                <w:spacing w:val="-6"/>
                <w:szCs w:val="21"/>
              </w:rPr>
              <w:t>（课程替代）</w:t>
            </w:r>
          </w:p>
        </w:tc>
        <w:tc>
          <w:tcPr>
            <w:tcW w:w="419" w:type="pct"/>
            <w:vAlign w:val="center"/>
          </w:tcPr>
          <w:p>
            <w:pPr>
              <w:spacing w:line="240" w:lineRule="exact"/>
              <w:jc w:val="center"/>
              <w:rPr>
                <w:rFonts w:ascii="仿宋" w:hAnsi="仿宋" w:eastAsia="仿宋" w:cs="仿宋"/>
                <w:spacing w:val="-6"/>
                <w:szCs w:val="21"/>
              </w:rPr>
            </w:pPr>
            <w:r>
              <w:rPr>
                <w:rFonts w:hint="eastAsia" w:ascii="仿宋" w:hAnsi="仿宋" w:eastAsia="仿宋" w:cs="仿宋"/>
                <w:spacing w:val="-6"/>
                <w:szCs w:val="21"/>
              </w:rPr>
              <w:t>3-5</w:t>
            </w:r>
          </w:p>
        </w:tc>
        <w:tc>
          <w:tcPr>
            <w:tcW w:w="461" w:type="pct"/>
            <w:vAlign w:val="center"/>
          </w:tcPr>
          <w:p>
            <w:pPr>
              <w:spacing w:line="240" w:lineRule="exact"/>
              <w:jc w:val="center"/>
              <w:rPr>
                <w:rFonts w:ascii="仿宋" w:hAnsi="仿宋" w:eastAsia="仿宋" w:cs="仿宋"/>
                <w:spacing w:val="-6"/>
                <w:szCs w:val="21"/>
              </w:rPr>
            </w:pPr>
            <w:r>
              <w:rPr>
                <w:rFonts w:hint="eastAsia" w:ascii="仿宋" w:hAnsi="仿宋" w:eastAsia="仿宋" w:cs="仿宋"/>
                <w:spacing w:val="-6"/>
                <w:szCs w:val="21"/>
              </w:rPr>
              <w:t>/</w:t>
            </w:r>
          </w:p>
        </w:tc>
        <w:tc>
          <w:tcPr>
            <w:tcW w:w="689" w:type="pct"/>
            <w:vAlign w:val="center"/>
          </w:tcPr>
          <w:p>
            <w:pPr>
              <w:spacing w:line="240" w:lineRule="exact"/>
              <w:jc w:val="center"/>
              <w:rPr>
                <w:rFonts w:ascii="仿宋" w:hAnsi="仿宋" w:eastAsia="仿宋" w:cs="仿宋"/>
                <w:spacing w:val="-6"/>
                <w:szCs w:val="21"/>
              </w:rPr>
            </w:pPr>
            <w:r>
              <w:rPr>
                <w:rFonts w:hint="eastAsia" w:ascii="仿宋" w:hAnsi="仿宋" w:eastAsia="仿宋" w:cs="仿宋"/>
                <w:spacing w:val="-6"/>
                <w:szCs w:val="21"/>
              </w:rPr>
              <w:t>创业教育</w:t>
            </w:r>
          </w:p>
          <w:p>
            <w:pPr>
              <w:spacing w:line="240" w:lineRule="exact"/>
              <w:jc w:val="center"/>
              <w:rPr>
                <w:rFonts w:ascii="Calibri" w:hAnsi="Calibri" w:eastAsia="宋体" w:cs="Times New Roman"/>
              </w:rPr>
            </w:pPr>
            <w:r>
              <w:rPr>
                <w:rFonts w:hint="eastAsia" w:ascii="仿宋" w:hAnsi="仿宋" w:eastAsia="仿宋" w:cs="仿宋"/>
                <w:spacing w:val="-6"/>
                <w:szCs w:val="21"/>
              </w:rPr>
              <w:t>学院</w:t>
            </w:r>
          </w:p>
        </w:tc>
      </w:tr>
    </w:tbl>
    <w:p>
      <w:pPr>
        <w:spacing w:line="500" w:lineRule="exact"/>
        <w:ind w:firstLine="560" w:firstLineChars="200"/>
        <w:rPr>
          <w:rFonts w:ascii="仿宋_GB2312" w:hAnsi="仿宋" w:eastAsia="仿宋_GB2312"/>
          <w:b/>
          <w:kern w:val="0"/>
          <w:sz w:val="28"/>
          <w:szCs w:val="28"/>
        </w:rPr>
      </w:pPr>
      <w:r>
        <w:rPr>
          <w:rFonts w:hint="eastAsia" w:ascii="仿宋_GB2312" w:hAnsi="仿宋" w:eastAsia="仿宋_GB2312"/>
          <w:kern w:val="0"/>
          <w:sz w:val="28"/>
          <w:szCs w:val="28"/>
        </w:rPr>
        <w:t>专业基础课设置涵盖课程实验、课程实习和专业实验的专业创新创业课程；专业方向课设置跨专业创新创业课程和跨学科创新创业课程，如</w:t>
      </w:r>
      <w:r>
        <w:rPr>
          <w:rFonts w:hint="eastAsia" w:ascii="仿宋_GB2312" w:hAnsi="仿宋" w:eastAsia="仿宋_GB2312"/>
          <w:color w:val="000000" w:themeColor="text1"/>
          <w:kern w:val="0"/>
          <w:sz w:val="28"/>
          <w:szCs w:val="28"/>
          <w14:textFill>
            <w14:solidFill>
              <w14:schemeClr w14:val="tx1"/>
            </w14:solidFill>
          </w14:textFill>
        </w:rPr>
        <w:t>《创业营销》等；</w:t>
      </w:r>
      <w:r>
        <w:rPr>
          <w:rFonts w:hint="eastAsia" w:ascii="仿宋_GB2312" w:hAnsi="仿宋" w:eastAsia="仿宋_GB2312"/>
          <w:kern w:val="0"/>
          <w:sz w:val="28"/>
          <w:szCs w:val="28"/>
        </w:rPr>
        <w:t>综合运用课设置专业实践、企业仿真综合运作系列课程、学年论文、毕业实习和毕业论文等创新创业课程。</w:t>
      </w:r>
    </w:p>
    <w:p>
      <w:pPr>
        <w:spacing w:line="500" w:lineRule="exact"/>
        <w:ind w:firstLine="562" w:firstLineChars="200"/>
        <w:outlineLvl w:val="2"/>
        <w:rPr>
          <w:rFonts w:ascii="仿宋_GB2312" w:hAnsi="仿宋" w:eastAsia="仿宋_GB2312"/>
          <w:b/>
          <w:kern w:val="0"/>
          <w:sz w:val="28"/>
          <w:szCs w:val="28"/>
        </w:rPr>
      </w:pPr>
      <w:r>
        <w:rPr>
          <w:rFonts w:hint="eastAsia" w:ascii="仿宋_GB2312" w:hAnsi="仿宋" w:eastAsia="仿宋_GB2312"/>
          <w:b/>
          <w:kern w:val="0"/>
          <w:sz w:val="28"/>
          <w:szCs w:val="28"/>
        </w:rPr>
        <w:t>（3）建设与引进相结合，多渠道建设创新创业在线开放课程</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2012年以来，引进超星尔雅平台的《品类创新》、《创新思维训练》等22门创新创业教育网络通识课程，出台了《广东财经大学三水校区素质教育改革总体方案（试行）》，规定学生修读网络课程通过考核即可获得学分，教师指导学生修读网络视频课程按《广东财经大学教学工作量核算办法》获得教学工作量。</w:t>
      </w:r>
    </w:p>
    <w:p>
      <w:pPr>
        <w:spacing w:line="500" w:lineRule="exact"/>
        <w:ind w:firstLine="562" w:firstLineChars="200"/>
        <w:outlineLvl w:val="2"/>
        <w:rPr>
          <w:rFonts w:ascii="仿宋_GB2312" w:hAnsi="仿宋" w:eastAsia="仿宋_GB2312"/>
          <w:b/>
          <w:kern w:val="0"/>
          <w:sz w:val="28"/>
          <w:szCs w:val="28"/>
        </w:rPr>
      </w:pPr>
      <w:r>
        <w:rPr>
          <w:rFonts w:hint="eastAsia" w:ascii="仿宋_GB2312" w:hAnsi="仿宋" w:eastAsia="仿宋_GB2312"/>
          <w:b/>
          <w:kern w:val="0"/>
          <w:sz w:val="28"/>
          <w:szCs w:val="28"/>
        </w:rPr>
        <w:t>（4）立项建设创新创业教育课程与教材</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2017年学校立项建设了《创意思维》和《创业基础》等五门创新创业类省级精品资源共享课，并立项建设了《设计思维》等6门通识类创新创业课程和《</w:t>
      </w:r>
      <w:r>
        <w:rPr>
          <w:rFonts w:hint="eastAsia" w:ascii="仿宋_GB2312" w:hAnsi="仿宋" w:eastAsia="仿宋_GB2312" w:cs="宋体"/>
          <w:bCs/>
          <w:kern w:val="0"/>
          <w:sz w:val="28"/>
          <w:szCs w:val="28"/>
        </w:rPr>
        <w:t>创业与管理：决策模拟</w:t>
      </w:r>
      <w:r>
        <w:rPr>
          <w:rFonts w:hint="eastAsia" w:ascii="仿宋_GB2312" w:hAnsi="仿宋" w:eastAsia="仿宋_GB2312"/>
          <w:kern w:val="0"/>
          <w:sz w:val="28"/>
          <w:szCs w:val="28"/>
        </w:rPr>
        <w:t>》等4门专业类创新创业课程，同时立项出版了《创业基础》、《创业投融资》等8门创新创业教育系列教材。</w:t>
      </w:r>
    </w:p>
    <w:p>
      <w:pPr>
        <w:spacing w:line="500" w:lineRule="exact"/>
        <w:ind w:firstLine="562" w:firstLineChars="200"/>
        <w:outlineLvl w:val="1"/>
        <w:rPr>
          <w:rFonts w:ascii="仿宋_GB2312" w:hAnsi="仿宋" w:eastAsia="仿宋_GB2312"/>
          <w:b/>
          <w:kern w:val="0"/>
          <w:sz w:val="28"/>
          <w:szCs w:val="28"/>
        </w:rPr>
      </w:pPr>
      <w:r>
        <w:rPr>
          <w:rFonts w:hint="eastAsia" w:ascii="仿宋_GB2312" w:hAnsi="仿宋" w:eastAsia="仿宋_GB2312"/>
          <w:b/>
          <w:kern w:val="0"/>
          <w:sz w:val="28"/>
          <w:szCs w:val="28"/>
        </w:rPr>
        <w:t>3.师资队伍</w:t>
      </w:r>
    </w:p>
    <w:p>
      <w:pPr>
        <w:spacing w:line="500" w:lineRule="exact"/>
        <w:ind w:firstLine="560" w:firstLineChars="200"/>
        <w:rPr>
          <w:rFonts w:ascii="仿宋_GB2312" w:hAnsi="仿宋" w:eastAsia="仿宋_GB2312"/>
          <w:b/>
          <w:kern w:val="0"/>
          <w:sz w:val="28"/>
          <w:szCs w:val="28"/>
        </w:rPr>
      </w:pPr>
      <w:r>
        <w:rPr>
          <w:rFonts w:hint="eastAsia" w:ascii="仿宋_GB2312" w:hAnsi="仿宋" w:eastAsia="仿宋_GB2312"/>
          <w:kern w:val="0"/>
          <w:sz w:val="28"/>
          <w:szCs w:val="28"/>
        </w:rPr>
        <w:t>2018年出台的《广东财经大学创新创业教育改革行动计划（2018-2020年）》明确规定创新创业师资队伍建设规划，并出台《广东财经大学创新创业导师管理办法》，对创新创业教育导师考核与激励机制、队伍建设目标做了明确规定。</w:t>
      </w:r>
    </w:p>
    <w:p>
      <w:pPr>
        <w:spacing w:line="500" w:lineRule="exact"/>
        <w:ind w:firstLine="562" w:firstLineChars="200"/>
        <w:outlineLvl w:val="2"/>
        <w:rPr>
          <w:rFonts w:ascii="仿宋_GB2312" w:hAnsi="仿宋" w:eastAsia="仿宋_GB2312"/>
          <w:kern w:val="0"/>
          <w:sz w:val="28"/>
          <w:szCs w:val="28"/>
        </w:rPr>
      </w:pPr>
      <w:r>
        <w:rPr>
          <w:rFonts w:hint="eastAsia" w:ascii="仿宋_GB2312" w:hAnsi="仿宋" w:eastAsia="仿宋_GB2312"/>
          <w:b/>
          <w:kern w:val="0"/>
          <w:sz w:val="28"/>
          <w:szCs w:val="28"/>
        </w:rPr>
        <w:t>（1）创新创业教师队伍</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学校目前担任创新创业教育相关课程的教师老师有111人，其中</w:t>
      </w:r>
    </w:p>
    <w:p>
      <w:pPr>
        <w:spacing w:line="500" w:lineRule="exact"/>
        <w:ind w:firstLine="560" w:firstLineChars="200"/>
        <w:rPr>
          <w:rFonts w:ascii="仿宋_GB2312" w:hAnsi="仿宋" w:eastAsia="仿宋_GB2312"/>
          <w:kern w:val="0"/>
          <w:sz w:val="28"/>
          <w:szCs w:val="28"/>
        </w:rPr>
      </w:pPr>
    </w:p>
    <w:p>
      <w:pPr>
        <w:spacing w:line="500" w:lineRule="exact"/>
        <w:rPr>
          <w:rFonts w:ascii="仿宋_GB2312" w:hAnsi="仿宋" w:eastAsia="仿宋_GB2312"/>
          <w:kern w:val="0"/>
          <w:sz w:val="28"/>
          <w:szCs w:val="28"/>
        </w:rPr>
      </w:pPr>
      <w:r>
        <w:rPr>
          <w:rFonts w:hint="eastAsia" w:ascii="仿宋_GB2312" w:hAnsi="仿宋" w:eastAsia="仿宋_GB2312"/>
          <w:kern w:val="0"/>
          <w:sz w:val="28"/>
          <w:szCs w:val="28"/>
        </w:rPr>
        <w:t>创业教育学院专任教师12人。以上教师承担了《创业基础》全校通识必修课等课程的授课任务。</w:t>
      </w:r>
    </w:p>
    <w:p>
      <w:pPr>
        <w:spacing w:line="500" w:lineRule="exact"/>
        <w:ind w:firstLine="562" w:firstLineChars="200"/>
        <w:outlineLvl w:val="2"/>
        <w:rPr>
          <w:rFonts w:ascii="仿宋_GB2312" w:hAnsi="仿宋" w:eastAsia="仿宋_GB2312"/>
          <w:kern w:val="0"/>
          <w:sz w:val="28"/>
          <w:szCs w:val="28"/>
        </w:rPr>
      </w:pPr>
      <w:r>
        <w:rPr>
          <w:rFonts w:hint="eastAsia" w:ascii="仿宋_GB2312" w:hAnsi="仿宋" w:eastAsia="仿宋_GB2312"/>
          <w:b/>
          <w:kern w:val="0"/>
          <w:sz w:val="28"/>
          <w:szCs w:val="28"/>
        </w:rPr>
        <w:t>（2）兼职创新创业队伍</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聘请各行业优秀人才建设创新创业教育兼职队伍，聘请“广东十大经济风云人物”获奖者、广州酷漫居动漫科技有限公司董事长杨涛等13人担任课程导师；聘请广东财大资本管理有限公司总裁林</w:t>
      </w:r>
      <w:r>
        <w:rPr>
          <w:rFonts w:hint="eastAsia" w:ascii="仿宋_GB2312" w:hAnsi="仿宋" w:eastAsia="仿宋"/>
          <w:kern w:val="0"/>
          <w:sz w:val="28"/>
          <w:szCs w:val="28"/>
        </w:rPr>
        <w:t>赟</w:t>
      </w:r>
      <w:r>
        <w:rPr>
          <w:rFonts w:hint="eastAsia" w:ascii="仿宋_GB2312" w:hAnsi="仿宋" w:eastAsia="仿宋_GB2312"/>
          <w:kern w:val="0"/>
          <w:sz w:val="28"/>
          <w:szCs w:val="28"/>
        </w:rPr>
        <w:t>等100余人担任创新创业导师。</w:t>
      </w:r>
    </w:p>
    <w:p>
      <w:pPr>
        <w:spacing w:line="500" w:lineRule="exact"/>
        <w:ind w:firstLine="562" w:firstLineChars="200"/>
        <w:outlineLvl w:val="2"/>
        <w:rPr>
          <w:rFonts w:ascii="仿宋_GB2312" w:hAnsi="仿宋" w:eastAsia="仿宋_GB2312"/>
          <w:kern w:val="0"/>
          <w:sz w:val="28"/>
          <w:szCs w:val="28"/>
        </w:rPr>
      </w:pPr>
      <w:r>
        <w:rPr>
          <w:rFonts w:hint="eastAsia" w:ascii="仿宋_GB2312" w:hAnsi="仿宋" w:eastAsia="仿宋_GB2312"/>
          <w:b/>
          <w:kern w:val="0"/>
          <w:sz w:val="28"/>
          <w:szCs w:val="28"/>
        </w:rPr>
        <w:t>（3）规范创新创业导师管理</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制定《广东财经大学创新创业导师管理办法》，对创新创业导师的聘任与管理、职责与权利、报酬与奖励等进行了详细规定。建设了广东财经大学创新创业服务网，开展创新创业导师库信息化建设，强化创新创业导师与学生的联系。</w:t>
      </w:r>
    </w:p>
    <w:p>
      <w:pPr>
        <w:spacing w:line="500" w:lineRule="exact"/>
        <w:ind w:firstLine="562" w:firstLineChars="200"/>
        <w:outlineLvl w:val="2"/>
        <w:rPr>
          <w:rFonts w:ascii="仿宋_GB2312" w:hAnsi="仿宋" w:eastAsia="仿宋_GB2312"/>
          <w:kern w:val="0"/>
          <w:sz w:val="28"/>
          <w:szCs w:val="28"/>
        </w:rPr>
      </w:pPr>
      <w:r>
        <w:rPr>
          <w:rFonts w:hint="eastAsia" w:ascii="仿宋_GB2312" w:hAnsi="仿宋" w:eastAsia="仿宋_GB2312"/>
          <w:b/>
          <w:kern w:val="0"/>
          <w:sz w:val="28"/>
          <w:szCs w:val="28"/>
        </w:rPr>
        <w:t>（4）创新创业师资培训</w:t>
      </w:r>
    </w:p>
    <w:p>
      <w:pPr>
        <w:snapToGrid w:val="0"/>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安排专项资金选派创新创业核心教师赴美国百森商学院、南洋理工大学、PACE大学、中国文化大学等学校参加“创业思维与行动”（TETA）等培训项目，已有5位教师顺利获得TETA等国际创业师资培训证书。积极安排创新创业教师参加SYB创业师资培训，已有11位教师获得SYB创业导师证书；与深圳子谦创业教育科技有限公司联合开展创新创业师资培训，已培训校内创新创业导师60余人。</w:t>
      </w:r>
    </w:p>
    <w:p>
      <w:pPr>
        <w:spacing w:line="500" w:lineRule="exact"/>
        <w:ind w:firstLine="562" w:firstLineChars="200"/>
        <w:outlineLvl w:val="1"/>
        <w:rPr>
          <w:rFonts w:ascii="仿宋_GB2312" w:hAnsi="仿宋" w:eastAsia="仿宋_GB2312"/>
          <w:b/>
          <w:kern w:val="0"/>
          <w:sz w:val="28"/>
          <w:szCs w:val="28"/>
        </w:rPr>
      </w:pPr>
      <w:r>
        <w:rPr>
          <w:rFonts w:hint="eastAsia" w:ascii="仿宋_GB2312" w:hAnsi="仿宋" w:eastAsia="仿宋_GB2312"/>
          <w:b/>
          <w:kern w:val="0"/>
          <w:sz w:val="28"/>
          <w:szCs w:val="28"/>
        </w:rPr>
        <w:t>4.教学管理</w:t>
      </w:r>
    </w:p>
    <w:p>
      <w:pPr>
        <w:spacing w:line="500" w:lineRule="exact"/>
        <w:ind w:firstLine="562" w:firstLineChars="200"/>
        <w:outlineLvl w:val="2"/>
        <w:rPr>
          <w:rFonts w:ascii="仿宋_GB2312" w:hAnsi="仿宋" w:eastAsia="仿宋_GB2312"/>
          <w:b/>
          <w:kern w:val="0"/>
          <w:sz w:val="28"/>
          <w:szCs w:val="28"/>
        </w:rPr>
      </w:pPr>
      <w:r>
        <w:rPr>
          <w:rFonts w:hint="eastAsia" w:ascii="仿宋_GB2312" w:hAnsi="仿宋" w:eastAsia="仿宋_GB2312"/>
          <w:b/>
          <w:kern w:val="0"/>
          <w:sz w:val="28"/>
          <w:szCs w:val="28"/>
        </w:rPr>
        <w:t>（1）实行弹性学制</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2016年修订《广东财经大学普教本科生学籍管理规定（试行）》，明确规定学校实行弹性学制，规定新生因为创业可保留一年的入学资格，在校学生经学校批准可休学创业，并分阶段完成学业。</w:t>
      </w:r>
    </w:p>
    <w:p>
      <w:pPr>
        <w:spacing w:line="500" w:lineRule="exact"/>
        <w:ind w:firstLine="562" w:firstLineChars="200"/>
        <w:outlineLvl w:val="2"/>
        <w:rPr>
          <w:rFonts w:ascii="仿宋_GB2312" w:hAnsi="仿宋" w:eastAsia="仿宋_GB2312"/>
          <w:kern w:val="0"/>
          <w:sz w:val="28"/>
          <w:szCs w:val="28"/>
        </w:rPr>
      </w:pPr>
      <w:r>
        <w:rPr>
          <w:rFonts w:hint="eastAsia" w:ascii="仿宋_GB2312" w:hAnsi="仿宋" w:eastAsia="仿宋_GB2312"/>
          <w:b/>
          <w:kern w:val="0"/>
          <w:sz w:val="28"/>
          <w:szCs w:val="28"/>
        </w:rPr>
        <w:t>（2）建立了创新创业学分积累与转换制度</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出台《广东财经大学开放式课程（项目）学分管理办法》，学生参与省级及以上大学生创新创业训练计划项目、“挑战杯”竞赛、“互联网+”竞赛等权威创新创业赛事获奖、创业项目入驻校内创业园区等创新创业实践活动可获得开放式课程（项目）学分。该学分可以申请替代教学计划中的通识选修课程、专业选修课和综合运用课程学分。学生已获和在修学分合计达到或超过应修总学分85%的，申请批准可提前修读毕业实习和毕业论文（设计）。从制度实施，累计至今有800人次取得创新创业课程的转换学分。</w:t>
      </w:r>
    </w:p>
    <w:p>
      <w:pPr>
        <w:spacing w:line="500" w:lineRule="exact"/>
        <w:ind w:firstLine="562" w:firstLineChars="200"/>
        <w:outlineLvl w:val="1"/>
        <w:rPr>
          <w:rFonts w:ascii="仿宋_GB2312" w:hAnsi="仿宋" w:eastAsia="仿宋_GB2312"/>
          <w:b/>
          <w:kern w:val="0"/>
          <w:sz w:val="28"/>
          <w:szCs w:val="28"/>
        </w:rPr>
      </w:pPr>
      <w:r>
        <w:rPr>
          <w:rFonts w:hint="eastAsia" w:ascii="仿宋_GB2312" w:hAnsi="仿宋" w:eastAsia="仿宋_GB2312"/>
          <w:b/>
          <w:kern w:val="0"/>
          <w:sz w:val="28"/>
          <w:szCs w:val="28"/>
        </w:rPr>
        <w:t>5.教学研究与教学改革</w:t>
      </w:r>
    </w:p>
    <w:p>
      <w:pPr>
        <w:spacing w:line="500" w:lineRule="exact"/>
        <w:ind w:firstLine="562" w:firstLineChars="200"/>
        <w:outlineLvl w:val="2"/>
        <w:rPr>
          <w:rFonts w:ascii="仿宋_GB2312" w:hAnsi="仿宋" w:eastAsia="仿宋_GB2312"/>
          <w:b/>
          <w:kern w:val="0"/>
          <w:sz w:val="28"/>
          <w:szCs w:val="28"/>
        </w:rPr>
      </w:pPr>
      <w:r>
        <w:rPr>
          <w:rFonts w:hint="eastAsia" w:ascii="仿宋_GB2312" w:hAnsi="仿宋" w:eastAsia="仿宋_GB2312"/>
          <w:b/>
          <w:kern w:val="0"/>
          <w:sz w:val="28"/>
          <w:szCs w:val="28"/>
        </w:rPr>
        <w:t>（1）国家级人才培养模式创新实验区专项教学改革</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国家级人才培养模式创新实验区——具有企业家精神与潜质的经济管理人才培养模式创新实验区,积极开展“发现教学”和项目驱动式导师制等教学方法改革：“发现教学”是在教师的启发诱导下，学生通过事例和问题独立研究与思考，自行发现并掌握相应原理和结论的教学方法；项目驱动导师制通过双向选择的方式，为每5名学生配备一名导师，导师针对学生个体差异，对学生学习观念、学习方法和专业发展方向等方面进行指导，并要求导师带领学生完成一项调研类或创业类项目。</w:t>
      </w:r>
    </w:p>
    <w:p>
      <w:pPr>
        <w:adjustRightInd w:val="0"/>
        <w:snapToGrid w:val="0"/>
        <w:spacing w:line="500" w:lineRule="exact"/>
        <w:ind w:firstLine="562" w:firstLineChars="200"/>
        <w:outlineLvl w:val="2"/>
        <w:rPr>
          <w:rFonts w:ascii="仿宋_GB2312" w:hAnsi="仿宋" w:eastAsia="仿宋_GB2312"/>
          <w:b/>
          <w:kern w:val="0"/>
          <w:sz w:val="28"/>
          <w:szCs w:val="28"/>
        </w:rPr>
      </w:pPr>
      <w:r>
        <w:rPr>
          <w:rFonts w:hint="eastAsia" w:ascii="仿宋_GB2312" w:hAnsi="仿宋" w:eastAsia="仿宋_GB2312"/>
          <w:b/>
          <w:kern w:val="0"/>
          <w:sz w:val="28"/>
          <w:szCs w:val="28"/>
        </w:rPr>
        <w:t>（2）全体教师重视创新创业教育理论与实践研究</w:t>
      </w:r>
    </w:p>
    <w:p>
      <w:pPr>
        <w:adjustRightInd w:val="0"/>
        <w:snapToGrid w:val="0"/>
        <w:spacing w:line="500" w:lineRule="exact"/>
        <w:ind w:firstLine="560" w:firstLineChars="200"/>
        <w:rPr>
          <w:rFonts w:ascii="仿宋_GB2312" w:hAnsi="仿宋" w:eastAsia="仿宋_GB2312"/>
          <w:color w:val="000000" w:themeColor="text1"/>
          <w:kern w:val="0"/>
          <w:sz w:val="28"/>
          <w:szCs w:val="28"/>
          <w14:textFill>
            <w14:solidFill>
              <w14:schemeClr w14:val="tx1"/>
            </w14:solidFill>
          </w14:textFill>
        </w:rPr>
      </w:pPr>
      <w:r>
        <w:rPr>
          <w:rFonts w:hint="eastAsia" w:ascii="仿宋_GB2312" w:hAnsi="仿宋" w:eastAsia="仿宋_GB2312"/>
          <w:kern w:val="0"/>
          <w:sz w:val="28"/>
          <w:szCs w:val="28"/>
        </w:rPr>
        <w:t>近三年来，学校承担国家、省、市等各级创新创业教育教学和科研课题十多项，主持了国家出版基金资助《创业基础》教材编写项目，获得广东省创新创业教育课程建设项目“创业思维训练”、“基于中美创业教育兴起背景与现实环境比较下的中国高校创业教育人才培养模式优化研究”、“产教融合视域下粤港澳大湾区创业投资人才培养研究</w:t>
      </w:r>
      <w:r>
        <w:rPr>
          <w:rFonts w:hint="eastAsia" w:ascii="仿宋_GB2312" w:hAnsi="仿宋" w:eastAsia="仿宋_GB2312"/>
          <w:color w:val="000000" w:themeColor="text1"/>
          <w:kern w:val="0"/>
          <w:sz w:val="28"/>
          <w:szCs w:val="28"/>
          <w14:textFill>
            <w14:solidFill>
              <w14:schemeClr w14:val="tx1"/>
            </w14:solidFill>
          </w14:textFill>
        </w:rPr>
        <w:t>与实践” 等19项教研课题，公开</w:t>
      </w:r>
      <w:r>
        <w:rPr>
          <w:rFonts w:hint="eastAsia" w:ascii="仿宋_GB2312" w:hAnsi="仿宋" w:eastAsia="仿宋_GB2312"/>
          <w:kern w:val="0"/>
          <w:sz w:val="28"/>
          <w:szCs w:val="28"/>
        </w:rPr>
        <w:t>发表创新创业教育理论与实践的研究论文110余篇</w:t>
      </w:r>
      <w:r>
        <w:rPr>
          <w:rFonts w:hint="eastAsia" w:ascii="仿宋_GB2312" w:hAnsi="仿宋" w:eastAsia="仿宋_GB2312"/>
          <w:color w:val="000000" w:themeColor="text1"/>
          <w:kern w:val="0"/>
          <w:sz w:val="28"/>
          <w:szCs w:val="28"/>
          <w14:textFill>
            <w14:solidFill>
              <w14:schemeClr w14:val="tx1"/>
            </w14:solidFill>
          </w14:textFill>
        </w:rPr>
        <w:t>。</w:t>
      </w:r>
    </w:p>
    <w:p>
      <w:pPr>
        <w:spacing w:line="500" w:lineRule="exact"/>
        <w:ind w:firstLine="602" w:firstLineChars="200"/>
        <w:outlineLvl w:val="0"/>
        <w:rPr>
          <w:rFonts w:ascii="仿宋_GB2312" w:hAnsi="宋体" w:eastAsia="仿宋_GB2312" w:cs="宋体"/>
          <w:b/>
          <w:kern w:val="0"/>
          <w:sz w:val="30"/>
          <w:szCs w:val="30"/>
        </w:rPr>
      </w:pPr>
      <w:r>
        <w:rPr>
          <w:rFonts w:hint="eastAsia" w:ascii="仿宋_GB2312" w:hAnsi="宋体" w:eastAsia="仿宋_GB2312" w:cs="宋体"/>
          <w:b/>
          <w:kern w:val="0"/>
          <w:sz w:val="30"/>
          <w:szCs w:val="30"/>
        </w:rPr>
        <w:t>三、创新创业实践平台建设及实践活动</w:t>
      </w:r>
    </w:p>
    <w:p>
      <w:pPr>
        <w:spacing w:line="500" w:lineRule="exact"/>
        <w:ind w:firstLine="562" w:firstLineChars="200"/>
        <w:outlineLvl w:val="1"/>
        <w:rPr>
          <w:rFonts w:ascii="仿宋_GB2312" w:hAnsi="宋体" w:eastAsia="仿宋_GB2312" w:cs="宋体"/>
          <w:b/>
          <w:kern w:val="0"/>
          <w:sz w:val="28"/>
          <w:szCs w:val="28"/>
        </w:rPr>
      </w:pPr>
      <w:r>
        <w:rPr>
          <w:rFonts w:hint="eastAsia" w:ascii="仿宋_GB2312" w:hAnsi="宋体" w:eastAsia="仿宋_GB2312" w:cs="宋体"/>
          <w:b/>
          <w:kern w:val="0"/>
          <w:sz w:val="28"/>
          <w:szCs w:val="28"/>
        </w:rPr>
        <w:t>1.实践平台建设</w:t>
      </w:r>
    </w:p>
    <w:p>
      <w:pPr>
        <w:spacing w:line="500" w:lineRule="exact"/>
        <w:ind w:firstLine="562" w:firstLineChars="200"/>
        <w:outlineLvl w:val="2"/>
        <w:rPr>
          <w:rFonts w:ascii="仿宋_GB2312" w:hAnsi="仿宋" w:eastAsia="仿宋_GB2312"/>
          <w:kern w:val="0"/>
          <w:sz w:val="28"/>
          <w:szCs w:val="28"/>
        </w:rPr>
      </w:pPr>
      <w:r>
        <w:rPr>
          <w:rFonts w:hint="eastAsia" w:ascii="仿宋_GB2312" w:hAnsi="仿宋" w:eastAsia="仿宋_GB2312"/>
          <w:b/>
          <w:kern w:val="0"/>
          <w:sz w:val="28"/>
          <w:szCs w:val="28"/>
        </w:rPr>
        <w:t>（1）生态型链条式创新创业实践平台建设</w:t>
      </w:r>
    </w:p>
    <w:p>
      <w:pPr>
        <w:snapToGrid w:val="0"/>
        <w:spacing w:line="500" w:lineRule="exact"/>
        <w:ind w:firstLine="560" w:firstLineChars="200"/>
        <w:rPr>
          <w:rFonts w:ascii="仿宋_GB2312" w:hAnsi="仿宋" w:eastAsia="仿宋_GB2312"/>
          <w:color w:val="FF0000"/>
          <w:kern w:val="0"/>
          <w:sz w:val="28"/>
          <w:szCs w:val="28"/>
        </w:rPr>
      </w:pPr>
      <w:r>
        <w:rPr>
          <w:rFonts w:hint="eastAsia" w:ascii="仿宋_GB2312" w:hAnsi="仿宋" w:eastAsia="仿宋_GB2312"/>
          <w:kern w:val="0"/>
          <w:sz w:val="28"/>
          <w:szCs w:val="28"/>
        </w:rPr>
        <w:t>建设由经济管理国家级实验教学示范中心（国家级虚拟仿真实验</w:t>
      </w:r>
      <w:r>
        <w:rPr>
          <w:rFonts w:hint="eastAsia" w:ascii="仿宋_GB2312" w:hAnsi="仿宋" w:eastAsia="仿宋_GB2312"/>
          <w:color w:val="000000" w:themeColor="text1"/>
          <w:kern w:val="0"/>
          <w:sz w:val="28"/>
          <w:szCs w:val="28"/>
          <w14:textFill>
            <w14:solidFill>
              <w14:schemeClr w14:val="tx1"/>
            </w14:solidFill>
          </w14:textFill>
        </w:rPr>
        <w:t>教学中心</w:t>
      </w:r>
      <w:r>
        <w:rPr>
          <w:rFonts w:hint="eastAsia" w:ascii="仿宋_GB2312" w:hAnsi="仿宋" w:eastAsia="仿宋_GB2312"/>
          <w:kern w:val="0"/>
          <w:sz w:val="28"/>
          <w:szCs w:val="28"/>
        </w:rPr>
        <w:t>）</w:t>
      </w:r>
      <w:r>
        <w:rPr>
          <w:rFonts w:hint="eastAsia" w:ascii="仿宋_GB2312" w:hAnsi="仿宋" w:eastAsia="仿宋_GB2312"/>
          <w:color w:val="000000" w:themeColor="text1"/>
          <w:kern w:val="0"/>
          <w:sz w:val="28"/>
          <w:szCs w:val="28"/>
          <w14:textFill>
            <w14:solidFill>
              <w14:schemeClr w14:val="tx1"/>
            </w14:solidFill>
          </w14:textFill>
        </w:rPr>
        <w:t>、财大创谷（大学生创业园）、创客咖啡、创客实验室、智慧型创新创业教室和校外创新创业实践基地组成的创新创业教育实践平台。财大创谷（大学生创业园）2017年获评广州市众创空间称号。协同社会资源为师生提供创新创业服务。创客咖啡由我校和北京神州泰岳教育科技有限公司共同建设并管理，并获2017年教育部产学合作协同育人项目立项资助。</w:t>
      </w:r>
    </w:p>
    <w:p>
      <w:pPr>
        <w:snapToGrid w:val="0"/>
        <w:spacing w:line="500" w:lineRule="exact"/>
        <w:ind w:firstLine="562" w:firstLineChars="200"/>
        <w:outlineLvl w:val="2"/>
        <w:rPr>
          <w:rFonts w:ascii="仿宋_GB2312" w:hAnsi="仿宋" w:eastAsia="仿宋_GB2312"/>
          <w:kern w:val="0"/>
          <w:sz w:val="28"/>
          <w:szCs w:val="28"/>
        </w:rPr>
      </w:pPr>
      <w:r>
        <w:rPr>
          <w:rFonts w:hint="eastAsia" w:ascii="仿宋_GB2312" w:hAnsi="仿宋" w:eastAsia="仿宋_GB2312"/>
          <w:b/>
          <w:kern w:val="0"/>
          <w:sz w:val="28"/>
          <w:szCs w:val="28"/>
        </w:rPr>
        <w:t>（2）建设覆盖全部学科的实验教学平台体系</w:t>
      </w:r>
    </w:p>
    <w:p>
      <w:pPr>
        <w:spacing w:line="500" w:lineRule="exact"/>
        <w:ind w:firstLine="560" w:firstLineChars="200"/>
        <w:rPr>
          <w:rFonts w:ascii="仿宋_GB2312" w:hAnsi="仿宋" w:eastAsia="仿宋_GB2312"/>
          <w:color w:val="FF0000"/>
          <w:kern w:val="0"/>
          <w:sz w:val="28"/>
          <w:szCs w:val="28"/>
        </w:rPr>
      </w:pPr>
      <w:r>
        <w:rPr>
          <w:rFonts w:hint="eastAsia" w:ascii="仿宋_GB2312" w:hAnsi="仿宋" w:eastAsia="仿宋_GB2312"/>
          <w:kern w:val="0"/>
          <w:sz w:val="28"/>
          <w:szCs w:val="28"/>
        </w:rPr>
        <w:t>建设了由经济与管理国家级实验教学示范中心、企业综合运作国家级虚拟仿真实验教学中心和8个省级实验教学示范中心（含建设项目）组成的涵盖全部学科和专业的实验教学平台体系，各实验平台均无偿向学生开放使用。</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经济与管理国家级实验教学示范中心首创了由《ERP软件Ⅰ》《ERP软件Ⅱ》《企业行为模拟》和《校内仿真综合实习》组成的经管类跨专业实验实践教学课程体系，2006年，经济与管理实验教学中心成为国家级首批两个正式命名的经管类实验教学示范中心之一，相关实验教学改革成果获国家级教学成果二等奖1项、国家级精品课程1门、国家级教学团队1支。2014年，以经管实验教学中心为基础的“企业综合运作虚拟仿真实验教学中心”进入首批国家级虚拟仿真实验教学中心建设行列。</w:t>
      </w:r>
    </w:p>
    <w:p>
      <w:pPr>
        <w:spacing w:line="500" w:lineRule="exact"/>
        <w:ind w:firstLine="562" w:firstLineChars="200"/>
        <w:outlineLvl w:val="2"/>
        <w:rPr>
          <w:rFonts w:ascii="仿宋_GB2312" w:hAnsi="仿宋" w:eastAsia="仿宋_GB2312"/>
          <w:b/>
          <w:kern w:val="0"/>
          <w:sz w:val="28"/>
          <w:szCs w:val="28"/>
        </w:rPr>
      </w:pPr>
      <w:r>
        <w:rPr>
          <w:rFonts w:hint="eastAsia" w:ascii="仿宋_GB2312" w:hAnsi="仿宋" w:eastAsia="仿宋_GB2312"/>
          <w:b/>
          <w:kern w:val="0"/>
          <w:sz w:val="28"/>
          <w:szCs w:val="28"/>
        </w:rPr>
        <w:t>（3）多方共建中美青年创客交流中心</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由教育部、佛山市三水区政府、IBM和我校共建中美青年创客交流中心。中心将在企业加速孵化、人才培养、课程建设、国内外知名高校资源对接、创客大赛等方面协同校政行企共同开展工作。</w:t>
      </w:r>
    </w:p>
    <w:p>
      <w:pPr>
        <w:spacing w:line="500" w:lineRule="exact"/>
        <w:ind w:firstLine="562" w:firstLineChars="200"/>
        <w:outlineLvl w:val="2"/>
        <w:rPr>
          <w:rFonts w:ascii="仿宋_GB2312" w:hAnsi="仿宋" w:eastAsia="仿宋_GB2312"/>
          <w:kern w:val="0"/>
          <w:sz w:val="28"/>
          <w:szCs w:val="28"/>
        </w:rPr>
      </w:pPr>
      <w:r>
        <w:rPr>
          <w:rFonts w:hint="eastAsia" w:ascii="仿宋_GB2312" w:hAnsi="仿宋" w:eastAsia="仿宋_GB2312"/>
          <w:b/>
          <w:kern w:val="0"/>
          <w:sz w:val="28"/>
          <w:szCs w:val="28"/>
        </w:rPr>
        <w:t>（4）以“互联网+”思维构建创新创业云服务平台</w:t>
      </w:r>
    </w:p>
    <w:p>
      <w:pPr>
        <w:snapToGrid w:val="0"/>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创新创业云服务平台专注大学生创新创业活动（涵盖原来教务、团委、学工、创业教育等部门主要学术科研及竞赛活动）的服务平台，全面服务于高校创新创业人才培养。</w:t>
      </w:r>
    </w:p>
    <w:p>
      <w:pPr>
        <w:spacing w:line="500" w:lineRule="exact"/>
        <w:ind w:firstLine="562" w:firstLineChars="200"/>
        <w:outlineLvl w:val="2"/>
        <w:rPr>
          <w:rFonts w:ascii="仿宋_GB2312" w:hAnsi="仿宋" w:eastAsia="仿宋_GB2312"/>
          <w:kern w:val="0"/>
          <w:sz w:val="28"/>
          <w:szCs w:val="28"/>
        </w:rPr>
      </w:pPr>
      <w:r>
        <w:rPr>
          <w:rFonts w:hint="eastAsia" w:ascii="仿宋_GB2312" w:hAnsi="仿宋" w:eastAsia="仿宋_GB2312"/>
          <w:b/>
          <w:kern w:val="0"/>
          <w:sz w:val="28"/>
          <w:szCs w:val="28"/>
        </w:rPr>
        <w:t>（5）创新创业实践基地建设</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学校现有创业孵化基地27个，其中广州市科技金融综合服务中心管理的科创咖啡是国家级孵化器，创之融孵化器是广州市级孵化器，多个学生初创项目在校孵化结束后入驻校外创新创业实践教学基地。</w:t>
      </w:r>
    </w:p>
    <w:p>
      <w:pPr>
        <w:spacing w:line="500" w:lineRule="exact"/>
        <w:ind w:firstLine="562" w:firstLineChars="200"/>
        <w:outlineLvl w:val="1"/>
        <w:rPr>
          <w:rFonts w:ascii="仿宋_GB2312" w:hAnsi="宋体" w:eastAsia="仿宋_GB2312" w:cs="宋体"/>
          <w:b/>
          <w:kern w:val="0"/>
          <w:sz w:val="28"/>
          <w:szCs w:val="28"/>
        </w:rPr>
      </w:pPr>
      <w:r>
        <w:rPr>
          <w:rFonts w:hint="eastAsia" w:ascii="仿宋_GB2312" w:hAnsi="宋体" w:eastAsia="仿宋_GB2312" w:cs="宋体"/>
          <w:b/>
          <w:kern w:val="0"/>
          <w:sz w:val="28"/>
          <w:szCs w:val="28"/>
        </w:rPr>
        <w:t>2.平台管理</w:t>
      </w:r>
    </w:p>
    <w:p>
      <w:pPr>
        <w:spacing w:line="500" w:lineRule="exact"/>
        <w:ind w:firstLine="562" w:firstLineChars="200"/>
        <w:outlineLvl w:val="2"/>
        <w:rPr>
          <w:rFonts w:ascii="仿宋_GB2312" w:hAnsi="仿宋" w:eastAsia="仿宋_GB2312"/>
          <w:b/>
          <w:kern w:val="0"/>
          <w:sz w:val="28"/>
          <w:szCs w:val="28"/>
        </w:rPr>
      </w:pPr>
      <w:r>
        <w:rPr>
          <w:rFonts w:hint="eastAsia" w:ascii="仿宋_GB2312" w:hAnsi="宋体" w:eastAsia="仿宋_GB2312" w:cs="宋体"/>
          <w:b/>
          <w:kern w:val="0"/>
          <w:sz w:val="28"/>
          <w:szCs w:val="28"/>
        </w:rPr>
        <w:t xml:space="preserve"> （</w:t>
      </w:r>
      <w:r>
        <w:rPr>
          <w:rFonts w:hint="eastAsia" w:ascii="仿宋_GB2312" w:hAnsi="仿宋" w:eastAsia="仿宋_GB2312"/>
          <w:b/>
          <w:kern w:val="0"/>
          <w:sz w:val="28"/>
          <w:szCs w:val="28"/>
        </w:rPr>
        <w:t>1）组织体系</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学校成立广东财经大学学生创业园区管理委员会，在广东财经大学创新创业教育指导委员会领导下，审议园区重大事项。主任委员由分管教学的校领导担任。管委会下设广东财经大学学生创业园区管理工作办公室。办公室负责创业园区日常管理事务，挂靠在创业教育学院。办公室对管委会负责，承担园区日常管理工作。</w:t>
      </w:r>
    </w:p>
    <w:p>
      <w:pPr>
        <w:spacing w:line="500" w:lineRule="exact"/>
        <w:ind w:firstLine="562" w:firstLineChars="200"/>
        <w:outlineLvl w:val="2"/>
        <w:rPr>
          <w:rFonts w:ascii="仿宋_GB2312" w:hAnsi="仿宋" w:eastAsia="仿宋_GB2312"/>
          <w:b/>
          <w:kern w:val="0"/>
          <w:sz w:val="28"/>
          <w:szCs w:val="28"/>
        </w:rPr>
      </w:pPr>
      <w:r>
        <w:rPr>
          <w:rFonts w:hint="eastAsia" w:ascii="仿宋_GB2312" w:hAnsi="仿宋" w:eastAsia="仿宋_GB2312"/>
          <w:b/>
          <w:kern w:val="0"/>
          <w:sz w:val="28"/>
          <w:szCs w:val="28"/>
        </w:rPr>
        <w:t>（2）制度保障</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学校印发《广东财经大学学生创业园区管理规定》、《广东财经大学实验室开放管理办法》、《广东财经大学学生创业园日常管理办法》、《广东财经大学大学生创业引导基金管理办法》等规章制服，对入园项目的遴选、日常管理、项目团队考核与奖惩、创业基金、实验室管理等均做了详细规定。</w:t>
      </w:r>
    </w:p>
    <w:p>
      <w:pPr>
        <w:spacing w:line="500" w:lineRule="exact"/>
        <w:ind w:firstLine="562" w:firstLineChars="200"/>
        <w:outlineLvl w:val="1"/>
        <w:rPr>
          <w:rFonts w:ascii="仿宋_GB2312" w:hAnsi="宋体" w:eastAsia="仿宋_GB2312" w:cs="宋体"/>
          <w:b/>
          <w:kern w:val="0"/>
          <w:sz w:val="28"/>
          <w:szCs w:val="28"/>
        </w:rPr>
      </w:pPr>
      <w:r>
        <w:rPr>
          <w:rFonts w:hint="eastAsia" w:ascii="仿宋_GB2312" w:hAnsi="仿宋" w:eastAsia="仿宋_GB2312"/>
          <w:b/>
          <w:kern w:val="0"/>
          <w:sz w:val="28"/>
          <w:szCs w:val="28"/>
        </w:rPr>
        <w:t>3.</w:t>
      </w:r>
      <w:r>
        <w:rPr>
          <w:rFonts w:hint="eastAsia" w:ascii="仿宋_GB2312" w:hAnsi="宋体" w:eastAsia="仿宋_GB2312" w:cs="宋体"/>
          <w:b/>
          <w:kern w:val="0"/>
          <w:sz w:val="28"/>
          <w:szCs w:val="28"/>
        </w:rPr>
        <w:t xml:space="preserve"> 指导服务</w:t>
      </w:r>
    </w:p>
    <w:p>
      <w:pPr>
        <w:spacing w:line="500" w:lineRule="exact"/>
        <w:ind w:firstLine="562" w:firstLineChars="200"/>
        <w:outlineLvl w:val="2"/>
        <w:rPr>
          <w:rFonts w:ascii="仿宋_GB2312" w:hAnsi="仿宋" w:eastAsia="仿宋_GB2312"/>
          <w:b/>
          <w:kern w:val="0"/>
          <w:sz w:val="28"/>
          <w:szCs w:val="28"/>
        </w:rPr>
      </w:pPr>
      <w:r>
        <w:rPr>
          <w:rFonts w:hint="eastAsia" w:ascii="仿宋_GB2312" w:hAnsi="仿宋" w:eastAsia="仿宋_GB2312"/>
          <w:b/>
          <w:kern w:val="0"/>
          <w:sz w:val="28"/>
          <w:szCs w:val="28"/>
        </w:rPr>
        <w:t>（1）建立较为完善的创新创业指导服务体系</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制定《广东财经大学创新创业教育指导教师管理办法》和《广东财经大学聘任名誉教授、客座教授、兼职教授、实践导师管理办法》，从校内外遴选专家学者和企业家，共同组建创新创业导师库；构建学生创业服务网，为创业学生共享创业资源和组织创业交流等搭建服务平台，构建学生创新创业档案，记录学生创业经历；设立大学生创业引导基金，引入教育部大学生创业基金等外部资源，搭建融资服务平台，破解资金难题，降低创业风险；为入驻企业提供经营管理场所，加强与政府职能部门沟通，协助创业企业争取补助、贷款、减免、奖励等优惠政策，降低创业成本。</w:t>
      </w:r>
    </w:p>
    <w:p>
      <w:pPr>
        <w:spacing w:line="500" w:lineRule="exact"/>
        <w:ind w:firstLine="562" w:firstLineChars="200"/>
        <w:outlineLvl w:val="2"/>
        <w:rPr>
          <w:rFonts w:ascii="仿宋_GB2312" w:hAnsi="仿宋" w:eastAsia="仿宋_GB2312"/>
          <w:b/>
          <w:kern w:val="0"/>
          <w:sz w:val="28"/>
          <w:szCs w:val="28"/>
        </w:rPr>
      </w:pPr>
      <w:r>
        <w:rPr>
          <w:rFonts w:hint="eastAsia" w:ascii="仿宋_GB2312" w:hAnsi="仿宋" w:eastAsia="仿宋_GB2312"/>
          <w:b/>
          <w:kern w:val="0"/>
          <w:sz w:val="28"/>
          <w:szCs w:val="28"/>
        </w:rPr>
        <w:t>（2）为学生创业项目提供系列全面的孵化服务</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每年面向创新创业训练计划项目遴选入园孵化项目，并为入驻团队免费提供水、电、网络、保洁及安保服务等；与大秀(广州)企业服务有限公司共建创新创业服务工作站，为入驻团队免费提供具有专业性、综合性的工商注册、代账报税、资质认证申报、知识产权等一站式服务。定期举办企业家论坛，创业沙龙等创业咨询活动；协助入园团队召集各方面专家进行运营诊断，帮助学生规避创业风险，降低经营成本，提高创业成功率。</w:t>
      </w:r>
    </w:p>
    <w:p>
      <w:pPr>
        <w:spacing w:line="500" w:lineRule="exact"/>
        <w:ind w:firstLine="562" w:firstLineChars="200"/>
        <w:outlineLvl w:val="1"/>
        <w:rPr>
          <w:rFonts w:ascii="仿宋_GB2312" w:hAnsi="宋体" w:eastAsia="仿宋_GB2312" w:cs="宋体"/>
          <w:b/>
          <w:kern w:val="0"/>
          <w:sz w:val="28"/>
          <w:szCs w:val="28"/>
        </w:rPr>
      </w:pPr>
      <w:r>
        <w:rPr>
          <w:rFonts w:hint="eastAsia" w:ascii="仿宋_GB2312" w:hAnsi="宋体" w:eastAsia="仿宋_GB2312" w:cs="宋体"/>
          <w:b/>
          <w:kern w:val="0"/>
          <w:sz w:val="28"/>
          <w:szCs w:val="28"/>
        </w:rPr>
        <w:t>4.创新创业实践活动</w:t>
      </w:r>
    </w:p>
    <w:p>
      <w:pPr>
        <w:spacing w:line="500" w:lineRule="exact"/>
        <w:ind w:firstLine="562" w:firstLineChars="200"/>
        <w:outlineLvl w:val="2"/>
        <w:rPr>
          <w:rFonts w:ascii="仿宋_GB2312" w:hAnsi="仿宋" w:eastAsia="仿宋_GB2312"/>
          <w:b/>
          <w:kern w:val="0"/>
          <w:sz w:val="28"/>
          <w:szCs w:val="28"/>
        </w:rPr>
      </w:pPr>
      <w:r>
        <w:rPr>
          <w:rFonts w:hint="eastAsia" w:ascii="仿宋_GB2312" w:hAnsi="仿宋" w:eastAsia="仿宋_GB2312"/>
          <w:b/>
          <w:kern w:val="0"/>
          <w:sz w:val="28"/>
          <w:szCs w:val="28"/>
        </w:rPr>
        <w:t>（1）建设多层次创新创业实践教学体系</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学校根据实验实践教学的功能定位，形成了与理论教学紧密衔接、四年不断线的涵盖课程单项性实验、课程综合性实验、专业综合性实验、跨专业综合性实验、校内仿真综合实习、创新创业实践六个层面，实训、实验、社会调研、专业实习、综合实习（毕业实习）、毕业论文（设计）六个环节，通识必修课实验、通识选修课实验、学科基础课实验、专业必修课实验、专业方向课实验、综合运用课实验六个模块的“6×6×6”的创新创业实践教学内容体系；建设了由国家级、省级和校级实验教学中心、大学生创业园区（财大创谷）、大学生校外实践教学基地、海外实践教学平台组成的课内外相互补充、校内校外紧密结合的实验实践教学平台体系。</w:t>
      </w:r>
    </w:p>
    <w:p>
      <w:pPr>
        <w:spacing w:line="500" w:lineRule="exact"/>
        <w:ind w:firstLine="562" w:firstLineChars="200"/>
        <w:outlineLvl w:val="2"/>
        <w:rPr>
          <w:rFonts w:ascii="仿宋_GB2312" w:hAnsi="仿宋" w:eastAsia="仿宋_GB2312"/>
          <w:b/>
          <w:kern w:val="0"/>
          <w:sz w:val="28"/>
          <w:szCs w:val="28"/>
        </w:rPr>
      </w:pPr>
      <w:r>
        <w:rPr>
          <w:rFonts w:hint="eastAsia" w:ascii="仿宋_GB2312" w:hAnsi="仿宋" w:eastAsia="仿宋_GB2312"/>
          <w:b/>
          <w:kern w:val="0"/>
          <w:sz w:val="28"/>
          <w:szCs w:val="28"/>
        </w:rPr>
        <w:t>（2）建立校政行企协同开展创新创业实践机制</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学校已协同广州市海珠区政府、佛山市政府、陇南市政府统筹规划建设创业实践基地。与广东省人社厅合作，承办5期广东省 “初创企业经营者素质提升研修班”，助力广东初创企业发展；。</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学校与广东省电子商务协会、广东省互联网金融协会等数十家行业协会、企业进行战略合作，开展创业师资培训、创业孵化等合作。</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学校现有校外实践教学基地282个，获批立项建设21个省级大学生校外实践教学基地，其中广州市地方税务局经济学实践教育基地是国家级大学生校外实践教育基地。</w:t>
      </w:r>
    </w:p>
    <w:p>
      <w:pPr>
        <w:spacing w:line="500" w:lineRule="exact"/>
        <w:ind w:firstLine="562" w:firstLineChars="200"/>
        <w:outlineLvl w:val="2"/>
        <w:rPr>
          <w:rFonts w:ascii="仿宋_GB2312" w:hAnsi="仿宋" w:eastAsia="仿宋_GB2312"/>
          <w:b/>
          <w:kern w:val="0"/>
          <w:sz w:val="28"/>
          <w:szCs w:val="28"/>
        </w:rPr>
      </w:pPr>
      <w:r>
        <w:rPr>
          <w:rFonts w:hint="eastAsia" w:ascii="仿宋_GB2312" w:hAnsi="仿宋" w:eastAsia="仿宋_GB2312"/>
          <w:b/>
          <w:kern w:val="0"/>
          <w:sz w:val="28"/>
          <w:szCs w:val="28"/>
        </w:rPr>
        <w:t>（3）组织多种形式国内外创新创业实践活动</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承办第七届全国大学生电子商务“创新、创意及创业”唯品会杯挑战赛广东省赛。积极组织学生参加各类创新创业专题竞赛，在“挑战杯”、“互联网+”、“全国高等院校企业竞争模拟大赛”等重要赛事中取得优异成绩。</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成立广东财经大学创业协会和KAB创业俱乐部，开展了“赢在广财”创业大赛等品牌创业活动，有效提升校园创新创业文化建设。</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邀请创业企业家和创业校友开展“企业家研究会”，讲述创业故事，目前已举办51期，研究会相关；举办创业论坛，让大学生创业者分享创业信息，交流创业心得。</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组织多批老师和学生前往欧洲德国、大洋洲新西兰等海外实践基地进行创新创业实践。</w:t>
      </w:r>
    </w:p>
    <w:p>
      <w:pPr>
        <w:spacing w:line="500" w:lineRule="exact"/>
        <w:ind w:firstLine="562" w:firstLineChars="200"/>
        <w:outlineLvl w:val="2"/>
        <w:rPr>
          <w:rFonts w:ascii="仿宋_GB2312" w:hAnsi="仿宋" w:eastAsia="仿宋_GB2312"/>
          <w:b/>
          <w:kern w:val="0"/>
          <w:sz w:val="28"/>
          <w:szCs w:val="28"/>
        </w:rPr>
      </w:pPr>
      <w:r>
        <w:rPr>
          <w:rFonts w:hint="eastAsia" w:ascii="仿宋_GB2312" w:hAnsi="仿宋" w:eastAsia="仿宋_GB2312"/>
          <w:b/>
          <w:kern w:val="0"/>
          <w:sz w:val="28"/>
          <w:szCs w:val="28"/>
        </w:rPr>
        <w:t>（4）实施大学生创新创业训练计划</w:t>
      </w:r>
    </w:p>
    <w:p>
      <w:pPr>
        <w:snapToGrid w:val="0"/>
        <w:spacing w:line="500" w:lineRule="exact"/>
        <w:ind w:firstLine="560" w:firstLineChars="200"/>
        <w:jc w:val="left"/>
        <w:rPr>
          <w:rFonts w:ascii="宋体" w:hAnsi="宋体"/>
          <w:sz w:val="24"/>
          <w:szCs w:val="24"/>
        </w:rPr>
      </w:pPr>
      <w:r>
        <w:rPr>
          <w:rFonts w:hint="eastAsia" w:ascii="仿宋_GB2312" w:hAnsi="仿宋" w:eastAsia="仿宋_GB2312"/>
          <w:kern w:val="0"/>
          <w:sz w:val="28"/>
          <w:szCs w:val="28"/>
        </w:rPr>
        <w:t>学校将教务处负责的大学生创新创业训练计划项目、学生处负责的学生科研项目和团委负责的创新创业竞赛项目进行整合，于2016年出台《广东财经大学大学生创新创业项目培育“双百工程”实施方案》，每年固定时间立项建设校级学术科技创新项目和校级创业项目。</w:t>
      </w:r>
      <w:r>
        <w:rPr>
          <w:rFonts w:hint="eastAsia" w:ascii="仿宋_GB2312" w:hAnsi="仿宋" w:eastAsia="仿宋_GB2312" w:cs="Times New Roman"/>
          <w:kern w:val="0"/>
          <w:sz w:val="28"/>
          <w:szCs w:val="28"/>
        </w:rPr>
        <w:t>“双百工程”立项与校内外各类创新创业竞赛及立项活动有效对接，其项目库是省级国家级“大创”项目和“挑战杯”、“互联网+”等权威创新创业赛事的唯一项目来源。近三年“双百工程”学术科技创新类立项累积890项，创业类立项358项。其中推荐优秀项目申报广东省大学生科技创新培育专项资金“攀登计划”，2016-2019年我校共有67个项目获立项，其中重点项目25项、一般项目42项，获得省财厅下拨立项资助资金总计119.5万元。</w:t>
      </w:r>
    </w:p>
    <w:p>
      <w:pPr>
        <w:spacing w:line="500" w:lineRule="exact"/>
        <w:ind w:firstLine="562" w:firstLineChars="200"/>
        <w:outlineLvl w:val="1"/>
        <w:rPr>
          <w:rFonts w:ascii="仿宋_GB2312" w:hAnsi="仿宋" w:eastAsia="仿宋_GB2312"/>
          <w:b/>
          <w:kern w:val="0"/>
          <w:sz w:val="28"/>
          <w:szCs w:val="28"/>
        </w:rPr>
      </w:pPr>
      <w:r>
        <w:rPr>
          <w:rFonts w:hint="eastAsia" w:ascii="仿宋_GB2312" w:hAnsi="仿宋" w:eastAsia="仿宋_GB2312"/>
          <w:b/>
          <w:kern w:val="0"/>
          <w:sz w:val="28"/>
          <w:szCs w:val="28"/>
        </w:rPr>
        <w:t>5.建设创新创业示范基地——“财大创谷”</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通过整合全校创新创业教育资源，学校围绕广州市及海珠区产业发展需求和定位，</w:t>
      </w:r>
      <w:r>
        <w:rPr>
          <w:rFonts w:hint="eastAsia" w:ascii="仿宋_GB2312" w:hAnsi="仿宋" w:eastAsia="仿宋_GB2312"/>
          <w:b/>
          <w:kern w:val="0"/>
          <w:sz w:val="28"/>
          <w:szCs w:val="28"/>
        </w:rPr>
        <w:t>建设了占地4000余平方米的具有财经类院校特色的创新创业实践平台——“财大创谷”</w:t>
      </w:r>
      <w:r>
        <w:rPr>
          <w:rFonts w:hint="eastAsia" w:ascii="仿宋_GB2312" w:hAnsi="仿宋" w:eastAsia="仿宋_GB2312"/>
          <w:kern w:val="0"/>
          <w:sz w:val="28"/>
          <w:szCs w:val="28"/>
        </w:rPr>
        <w:t>。“财大创谷”采用学校和合作企业共建共管的模式，双方以互信互利、友好协商、共同发展为基本原则，共同开展创新创业工作。“财大创谷”已建成文创孵化区、电商创业孵化区、创新创业文化展示中心、创客实验室、创客咖啡、孵化园等功能区。2017年12月，“财大创谷”获评广州市众创空间称号。</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为了更好地为入驻团队提供配套服务，学校与大秀(广州)企业服务有限公司签署合作协议，共建创新创业服务工作站，免费为创业团队提供工商注册、代账报税、资质认证申报、知识产权、法律咨询与政策申报等服务。学校与华图宏阳教育文化发展有限公司共同发起设立“创业引导基金”，为创业大学生提供2-5万元的创业启动资金，破解创业融资难题。</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近三年来，“财大创谷”累计入驻创业团队和企业70余家，孵化了广州艾晨斯品牌策划有限公司、广州衣原堂服装有限公司、广州宏耀图星教育咨询有限责任公司、广州天梯文化传媒有限公司等多家企业，年营业额达百万以上。特别是广州衣原堂服装有限公司，创业两年多来拥有2个自营工厂以及与山东国家精准扶贫车间有密切合作，营业额超900万，为400多位同学提供工作和实习岗位，推动作用和示范效果明显。</w:t>
      </w:r>
    </w:p>
    <w:p>
      <w:pPr>
        <w:spacing w:line="500" w:lineRule="exact"/>
        <w:ind w:firstLine="602" w:firstLineChars="200"/>
        <w:outlineLvl w:val="0"/>
        <w:rPr>
          <w:rFonts w:ascii="仿宋_GB2312" w:hAnsi="仿宋" w:eastAsia="仿宋_GB2312"/>
          <w:b/>
          <w:kern w:val="0"/>
          <w:sz w:val="30"/>
          <w:szCs w:val="30"/>
        </w:rPr>
      </w:pPr>
      <w:r>
        <w:rPr>
          <w:rFonts w:hint="eastAsia" w:ascii="仿宋_GB2312" w:hAnsi="仿宋" w:eastAsia="仿宋_GB2312"/>
          <w:b/>
          <w:kern w:val="0"/>
          <w:sz w:val="30"/>
          <w:szCs w:val="30"/>
        </w:rPr>
        <w:t>四、创新创业教育工作成效</w:t>
      </w:r>
    </w:p>
    <w:p>
      <w:pPr>
        <w:spacing w:line="500" w:lineRule="exact"/>
        <w:ind w:firstLine="562" w:firstLineChars="200"/>
        <w:outlineLvl w:val="1"/>
        <w:rPr>
          <w:rFonts w:ascii="仿宋_GB2312" w:hAnsi="仿宋" w:eastAsia="仿宋_GB2312"/>
          <w:b/>
          <w:kern w:val="0"/>
          <w:sz w:val="28"/>
          <w:szCs w:val="28"/>
        </w:rPr>
      </w:pPr>
      <w:r>
        <w:rPr>
          <w:rFonts w:hint="eastAsia" w:ascii="仿宋_GB2312" w:hAnsi="仿宋" w:eastAsia="仿宋_GB2312"/>
          <w:b/>
          <w:kern w:val="0"/>
          <w:sz w:val="28"/>
          <w:szCs w:val="28"/>
        </w:rPr>
        <w:t>1.就业质量和创新创业教育和指导服务满意度</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近三年，我校初次就业率稳居全省高校前列，就业质量稳步提高。本科毕业生就业率一直保持在广东省高校前列，用人单位对历届毕业生的满意度达96%以上。涌现出党的十六大代表陈小敏，全国十大杰出青年卫士卢伟雄，全国青年联合会常委、广东美涂士建材股份有限公司董事局主席周伟建等一批优秀毕业生。2017年初次就业率95.55%，高于全省本科毕业生初次就业率94.99%。2018年初次就业率92.34%。</w:t>
      </w:r>
    </w:p>
    <w:p>
      <w:pPr>
        <w:spacing w:line="500" w:lineRule="exact"/>
        <w:ind w:firstLine="562" w:firstLineChars="200"/>
        <w:outlineLvl w:val="1"/>
        <w:rPr>
          <w:rFonts w:ascii="仿宋_GB2312" w:hAnsi="仿宋" w:eastAsia="仿宋_GB2312"/>
          <w:b/>
          <w:kern w:val="0"/>
          <w:sz w:val="28"/>
          <w:szCs w:val="28"/>
        </w:rPr>
      </w:pPr>
      <w:r>
        <w:rPr>
          <w:rFonts w:hint="eastAsia" w:ascii="仿宋_GB2312" w:hAnsi="仿宋" w:eastAsia="仿宋_GB2312"/>
          <w:b/>
          <w:kern w:val="0"/>
          <w:sz w:val="28"/>
          <w:szCs w:val="28"/>
        </w:rPr>
        <w:t>2.创新创业获奖情况</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近三年，我校学生在“互联网+”大学生创新创业大赛省赛中共获银奖3项，铜奖2项，并荣获省赛优秀组织奖1次。2019年9月，我校“职道--合伙人” 团队在由教育部高等学校电子商务类专业教学指导委员会主办的全国大学生电子商务“创新、创意及创业”挑战赛全国总决赛（三创赛）中获得一等奖以及最佳创意奖的好成绩。</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“挑战杯”、“创青春”等标杆性创新创业竞赛成绩优异。获奖情况详见表2。2017年“挑战杯”课外科技作品竞赛国赛中，我校获一等奖2项，二等奖1项。</w:t>
      </w:r>
    </w:p>
    <w:p>
      <w:pPr>
        <w:spacing w:line="500" w:lineRule="exact"/>
        <w:ind w:firstLine="560" w:firstLineChars="200"/>
        <w:jc w:val="center"/>
        <w:rPr>
          <w:rFonts w:ascii="仿宋_GB2312" w:hAnsi="仿宋" w:eastAsia="仿宋_GB2312"/>
          <w:kern w:val="0"/>
          <w:sz w:val="28"/>
          <w:szCs w:val="28"/>
        </w:rPr>
      </w:pPr>
      <w:r>
        <w:rPr>
          <w:rFonts w:hint="eastAsia" w:ascii="仿宋_GB2312" w:hAnsi="仿宋" w:eastAsia="仿宋_GB2312"/>
          <w:kern w:val="0"/>
          <w:sz w:val="28"/>
          <w:szCs w:val="28"/>
        </w:rPr>
        <w:t>表2：我校近三年挑战杯省赛获奖情况</w:t>
      </w:r>
    </w:p>
    <w:tbl>
      <w:tblPr>
        <w:tblStyle w:val="8"/>
        <w:tblW w:w="8520" w:type="dxa"/>
        <w:tblInd w:w="-1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
        <w:gridCol w:w="1275"/>
        <w:gridCol w:w="1150"/>
        <w:gridCol w:w="1117"/>
        <w:gridCol w:w="1133"/>
        <w:gridCol w:w="1767"/>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9" w:hRule="atLeast"/>
        </w:trPr>
        <w:tc>
          <w:tcPr>
            <w:tcW w:w="908" w:type="dxa"/>
          </w:tcPr>
          <w:p>
            <w:pPr>
              <w:spacing w:line="500" w:lineRule="exact"/>
              <w:jc w:val="center"/>
              <w:rPr>
                <w:rFonts w:ascii="仿宋_GB2312" w:hAnsi="仿宋" w:eastAsia="仿宋_GB2312"/>
                <w:b/>
                <w:bCs/>
                <w:kern w:val="0"/>
                <w:sz w:val="28"/>
                <w:szCs w:val="28"/>
              </w:rPr>
            </w:pPr>
            <w:r>
              <w:rPr>
                <w:rFonts w:hint="eastAsia" w:ascii="仿宋_GB2312" w:hAnsi="仿宋" w:eastAsia="仿宋_GB2312"/>
                <w:b/>
                <w:bCs/>
                <w:kern w:val="0"/>
                <w:sz w:val="28"/>
                <w:szCs w:val="28"/>
              </w:rPr>
              <w:t>年份</w:t>
            </w:r>
          </w:p>
        </w:tc>
        <w:tc>
          <w:tcPr>
            <w:tcW w:w="1275" w:type="dxa"/>
          </w:tcPr>
          <w:p>
            <w:pPr>
              <w:spacing w:line="500" w:lineRule="exact"/>
              <w:jc w:val="center"/>
              <w:rPr>
                <w:rFonts w:ascii="仿宋_GB2312" w:hAnsi="仿宋" w:eastAsia="仿宋_GB2312"/>
                <w:b/>
                <w:bCs/>
                <w:kern w:val="0"/>
                <w:sz w:val="28"/>
                <w:szCs w:val="28"/>
              </w:rPr>
            </w:pPr>
            <w:r>
              <w:rPr>
                <w:rFonts w:hint="eastAsia" w:ascii="仿宋_GB2312" w:hAnsi="仿宋" w:eastAsia="仿宋_GB2312"/>
                <w:b/>
                <w:bCs/>
                <w:kern w:val="0"/>
                <w:sz w:val="28"/>
                <w:szCs w:val="28"/>
              </w:rPr>
              <w:t>特等奖</w:t>
            </w:r>
          </w:p>
        </w:tc>
        <w:tc>
          <w:tcPr>
            <w:tcW w:w="1150" w:type="dxa"/>
          </w:tcPr>
          <w:p>
            <w:pPr>
              <w:spacing w:line="500" w:lineRule="exact"/>
              <w:jc w:val="center"/>
              <w:rPr>
                <w:rFonts w:ascii="仿宋_GB2312" w:hAnsi="仿宋" w:eastAsia="仿宋_GB2312"/>
                <w:b/>
                <w:bCs/>
                <w:kern w:val="0"/>
                <w:sz w:val="28"/>
                <w:szCs w:val="28"/>
              </w:rPr>
            </w:pPr>
            <w:r>
              <w:rPr>
                <w:rFonts w:hint="eastAsia" w:ascii="仿宋_GB2312" w:hAnsi="仿宋" w:eastAsia="仿宋_GB2312"/>
                <w:b/>
                <w:bCs/>
                <w:kern w:val="0"/>
                <w:sz w:val="28"/>
                <w:szCs w:val="28"/>
              </w:rPr>
              <w:t>金奖</w:t>
            </w:r>
          </w:p>
        </w:tc>
        <w:tc>
          <w:tcPr>
            <w:tcW w:w="1117" w:type="dxa"/>
          </w:tcPr>
          <w:p>
            <w:pPr>
              <w:spacing w:line="500" w:lineRule="exact"/>
              <w:jc w:val="center"/>
              <w:rPr>
                <w:rFonts w:ascii="仿宋_GB2312" w:hAnsi="仿宋" w:eastAsia="仿宋_GB2312"/>
                <w:b/>
                <w:bCs/>
                <w:kern w:val="0"/>
                <w:sz w:val="28"/>
                <w:szCs w:val="28"/>
              </w:rPr>
            </w:pPr>
            <w:r>
              <w:rPr>
                <w:rFonts w:hint="eastAsia" w:ascii="仿宋_GB2312" w:hAnsi="仿宋" w:eastAsia="仿宋_GB2312"/>
                <w:b/>
                <w:bCs/>
                <w:kern w:val="0"/>
                <w:sz w:val="28"/>
                <w:szCs w:val="28"/>
              </w:rPr>
              <w:t>银奖</w:t>
            </w:r>
          </w:p>
        </w:tc>
        <w:tc>
          <w:tcPr>
            <w:tcW w:w="1133" w:type="dxa"/>
          </w:tcPr>
          <w:p>
            <w:pPr>
              <w:spacing w:line="500" w:lineRule="exact"/>
              <w:jc w:val="center"/>
              <w:rPr>
                <w:rFonts w:ascii="仿宋_GB2312" w:hAnsi="仿宋" w:eastAsia="仿宋_GB2312"/>
                <w:b/>
                <w:bCs/>
                <w:kern w:val="0"/>
                <w:sz w:val="28"/>
                <w:szCs w:val="28"/>
              </w:rPr>
            </w:pPr>
            <w:r>
              <w:rPr>
                <w:rFonts w:hint="eastAsia" w:ascii="仿宋_GB2312" w:hAnsi="仿宋" w:eastAsia="仿宋_GB2312"/>
                <w:b/>
                <w:bCs/>
                <w:kern w:val="0"/>
                <w:sz w:val="28"/>
                <w:szCs w:val="28"/>
              </w:rPr>
              <w:t>铜奖</w:t>
            </w:r>
          </w:p>
        </w:tc>
        <w:tc>
          <w:tcPr>
            <w:tcW w:w="1767" w:type="dxa"/>
          </w:tcPr>
          <w:p>
            <w:pPr>
              <w:spacing w:line="500" w:lineRule="exact"/>
              <w:jc w:val="center"/>
              <w:rPr>
                <w:rFonts w:ascii="仿宋_GB2312" w:hAnsi="仿宋" w:eastAsia="仿宋_GB2312"/>
                <w:b/>
                <w:bCs/>
                <w:kern w:val="0"/>
                <w:sz w:val="28"/>
                <w:szCs w:val="28"/>
              </w:rPr>
            </w:pPr>
            <w:r>
              <w:rPr>
                <w:rFonts w:hint="eastAsia" w:ascii="仿宋_GB2312" w:hAnsi="仿宋" w:eastAsia="仿宋_GB2312"/>
                <w:b/>
                <w:bCs/>
                <w:kern w:val="0"/>
                <w:sz w:val="28"/>
                <w:szCs w:val="28"/>
              </w:rPr>
              <w:t>集体荣誉</w:t>
            </w:r>
          </w:p>
        </w:tc>
        <w:tc>
          <w:tcPr>
            <w:tcW w:w="1170" w:type="dxa"/>
          </w:tcPr>
          <w:p>
            <w:pPr>
              <w:spacing w:line="500" w:lineRule="exact"/>
              <w:jc w:val="center"/>
              <w:rPr>
                <w:rFonts w:ascii="仿宋_GB2312" w:hAnsi="仿宋" w:eastAsia="仿宋_GB2312"/>
                <w:b/>
                <w:bCs/>
                <w:kern w:val="0"/>
                <w:sz w:val="28"/>
                <w:szCs w:val="28"/>
              </w:rPr>
            </w:pPr>
            <w:r>
              <w:rPr>
                <w:rFonts w:hint="eastAsia" w:ascii="仿宋_GB2312" w:hAnsi="仿宋" w:eastAsia="仿宋_GB2312"/>
                <w:b/>
                <w:bCs/>
                <w:kern w:val="0"/>
                <w:sz w:val="28"/>
                <w:szCs w:val="28"/>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9" w:hRule="atLeast"/>
        </w:trPr>
        <w:tc>
          <w:tcPr>
            <w:tcW w:w="908" w:type="dxa"/>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2016</w:t>
            </w:r>
          </w:p>
        </w:tc>
        <w:tc>
          <w:tcPr>
            <w:tcW w:w="1275" w:type="dxa"/>
            <w:vAlign w:val="center"/>
          </w:tcPr>
          <w:p>
            <w:pPr>
              <w:spacing w:line="500" w:lineRule="exact"/>
              <w:jc w:val="center"/>
              <w:rPr>
                <w:rFonts w:ascii="仿宋_GB2312" w:hAnsi="仿宋" w:eastAsia="仿宋_GB2312"/>
                <w:kern w:val="0"/>
                <w:sz w:val="28"/>
                <w:szCs w:val="28"/>
              </w:rPr>
            </w:pPr>
          </w:p>
        </w:tc>
        <w:tc>
          <w:tcPr>
            <w:tcW w:w="1150" w:type="dxa"/>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4</w:t>
            </w:r>
          </w:p>
        </w:tc>
        <w:tc>
          <w:tcPr>
            <w:tcW w:w="1117" w:type="dxa"/>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9</w:t>
            </w:r>
          </w:p>
        </w:tc>
        <w:tc>
          <w:tcPr>
            <w:tcW w:w="1133" w:type="dxa"/>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5</w:t>
            </w:r>
          </w:p>
        </w:tc>
        <w:tc>
          <w:tcPr>
            <w:tcW w:w="1767" w:type="dxa"/>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“优创杯”</w:t>
            </w:r>
          </w:p>
        </w:tc>
        <w:tc>
          <w:tcPr>
            <w:tcW w:w="1170" w:type="dxa"/>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9" w:hRule="atLeast"/>
        </w:trPr>
        <w:tc>
          <w:tcPr>
            <w:tcW w:w="908" w:type="dxa"/>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2017</w:t>
            </w:r>
          </w:p>
        </w:tc>
        <w:tc>
          <w:tcPr>
            <w:tcW w:w="1275" w:type="dxa"/>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4</w:t>
            </w:r>
          </w:p>
        </w:tc>
        <w:tc>
          <w:tcPr>
            <w:tcW w:w="1150" w:type="dxa"/>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1</w:t>
            </w:r>
          </w:p>
        </w:tc>
        <w:tc>
          <w:tcPr>
            <w:tcW w:w="1117" w:type="dxa"/>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7</w:t>
            </w:r>
          </w:p>
        </w:tc>
        <w:tc>
          <w:tcPr>
            <w:tcW w:w="1133" w:type="dxa"/>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4</w:t>
            </w:r>
          </w:p>
        </w:tc>
        <w:tc>
          <w:tcPr>
            <w:tcW w:w="1767" w:type="dxa"/>
            <w:vAlign w:val="center"/>
          </w:tcPr>
          <w:p>
            <w:pPr>
              <w:spacing w:line="500" w:lineRule="exact"/>
              <w:jc w:val="center"/>
              <w:rPr>
                <w:rFonts w:ascii="仿宋_GB2312" w:hAnsi="仿宋" w:eastAsia="仿宋_GB2312"/>
                <w:kern w:val="0"/>
                <w:sz w:val="28"/>
                <w:szCs w:val="28"/>
              </w:rPr>
            </w:pPr>
          </w:p>
        </w:tc>
        <w:tc>
          <w:tcPr>
            <w:tcW w:w="1170" w:type="dxa"/>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trPr>
        <w:tc>
          <w:tcPr>
            <w:tcW w:w="908" w:type="dxa"/>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2018</w:t>
            </w:r>
          </w:p>
        </w:tc>
        <w:tc>
          <w:tcPr>
            <w:tcW w:w="1275" w:type="dxa"/>
            <w:vAlign w:val="center"/>
          </w:tcPr>
          <w:p>
            <w:pPr>
              <w:spacing w:line="500" w:lineRule="exact"/>
              <w:jc w:val="center"/>
              <w:rPr>
                <w:rFonts w:ascii="仿宋_GB2312" w:hAnsi="仿宋" w:eastAsia="仿宋_GB2312"/>
                <w:kern w:val="0"/>
                <w:sz w:val="28"/>
                <w:szCs w:val="28"/>
              </w:rPr>
            </w:pPr>
          </w:p>
        </w:tc>
        <w:tc>
          <w:tcPr>
            <w:tcW w:w="1150" w:type="dxa"/>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6</w:t>
            </w:r>
          </w:p>
        </w:tc>
        <w:tc>
          <w:tcPr>
            <w:tcW w:w="1117" w:type="dxa"/>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5</w:t>
            </w:r>
          </w:p>
        </w:tc>
        <w:tc>
          <w:tcPr>
            <w:tcW w:w="1133" w:type="dxa"/>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5</w:t>
            </w:r>
          </w:p>
        </w:tc>
        <w:tc>
          <w:tcPr>
            <w:tcW w:w="1767" w:type="dxa"/>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“优创杯”</w:t>
            </w:r>
          </w:p>
        </w:tc>
        <w:tc>
          <w:tcPr>
            <w:tcW w:w="1170" w:type="dxa"/>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08" w:type="dxa"/>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2019</w:t>
            </w:r>
          </w:p>
        </w:tc>
        <w:tc>
          <w:tcPr>
            <w:tcW w:w="1275" w:type="dxa"/>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2</w:t>
            </w:r>
          </w:p>
        </w:tc>
        <w:tc>
          <w:tcPr>
            <w:tcW w:w="1150" w:type="dxa"/>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2</w:t>
            </w:r>
          </w:p>
        </w:tc>
        <w:tc>
          <w:tcPr>
            <w:tcW w:w="1117" w:type="dxa"/>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7</w:t>
            </w:r>
          </w:p>
        </w:tc>
        <w:tc>
          <w:tcPr>
            <w:tcW w:w="1133" w:type="dxa"/>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5</w:t>
            </w:r>
          </w:p>
        </w:tc>
        <w:tc>
          <w:tcPr>
            <w:tcW w:w="1767" w:type="dxa"/>
            <w:vAlign w:val="center"/>
          </w:tcPr>
          <w:p>
            <w:pPr>
              <w:spacing w:line="500" w:lineRule="exact"/>
              <w:jc w:val="center"/>
              <w:rPr>
                <w:rFonts w:ascii="仿宋_GB2312" w:hAnsi="仿宋" w:eastAsia="仿宋_GB2312"/>
                <w:kern w:val="0"/>
                <w:sz w:val="28"/>
                <w:szCs w:val="28"/>
              </w:rPr>
            </w:pPr>
          </w:p>
        </w:tc>
        <w:tc>
          <w:tcPr>
            <w:tcW w:w="1170" w:type="dxa"/>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08" w:type="dxa"/>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合计</w:t>
            </w:r>
          </w:p>
        </w:tc>
        <w:tc>
          <w:tcPr>
            <w:tcW w:w="1275" w:type="dxa"/>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6</w:t>
            </w:r>
          </w:p>
        </w:tc>
        <w:tc>
          <w:tcPr>
            <w:tcW w:w="1150" w:type="dxa"/>
            <w:vAlign w:val="center"/>
          </w:tcPr>
          <w:p>
            <w:pPr>
              <w:spacing w:line="500" w:lineRule="exact"/>
              <w:jc w:val="center"/>
              <w:rPr>
                <w:rFonts w:ascii="仿宋_GB2312" w:hAnsi="仿宋" w:eastAsia="仿宋_GB2312"/>
                <w:kern w:val="0"/>
                <w:sz w:val="28"/>
                <w:szCs w:val="28"/>
              </w:rPr>
            </w:pPr>
            <w:r>
              <w:rPr>
                <w:rFonts w:ascii="仿宋_GB2312" w:hAnsi="仿宋" w:eastAsia="仿宋_GB2312"/>
                <w:kern w:val="0"/>
                <w:sz w:val="28"/>
                <w:szCs w:val="28"/>
              </w:rPr>
              <w:fldChar w:fldCharType="begin"/>
            </w:r>
            <w:r>
              <w:rPr>
                <w:rFonts w:ascii="仿宋_GB2312" w:hAnsi="仿宋" w:eastAsia="仿宋_GB2312"/>
                <w:kern w:val="0"/>
                <w:sz w:val="28"/>
                <w:szCs w:val="28"/>
              </w:rPr>
              <w:instrText xml:space="preserve"> =SUM(ABOVE) </w:instrText>
            </w:r>
            <w:r>
              <w:rPr>
                <w:rFonts w:ascii="仿宋_GB2312" w:hAnsi="仿宋" w:eastAsia="仿宋_GB2312"/>
                <w:kern w:val="0"/>
                <w:sz w:val="28"/>
                <w:szCs w:val="28"/>
              </w:rPr>
              <w:fldChar w:fldCharType="separate"/>
            </w:r>
            <w:r>
              <w:rPr>
                <w:rFonts w:ascii="仿宋_GB2312" w:hAnsi="仿宋" w:eastAsia="仿宋_GB2312"/>
                <w:kern w:val="0"/>
                <w:sz w:val="28"/>
                <w:szCs w:val="28"/>
              </w:rPr>
              <w:t>13</w:t>
            </w:r>
            <w:r>
              <w:rPr>
                <w:rFonts w:ascii="仿宋_GB2312" w:hAnsi="仿宋" w:eastAsia="仿宋_GB2312"/>
                <w:kern w:val="0"/>
                <w:sz w:val="28"/>
                <w:szCs w:val="28"/>
              </w:rPr>
              <w:fldChar w:fldCharType="end"/>
            </w:r>
          </w:p>
        </w:tc>
        <w:tc>
          <w:tcPr>
            <w:tcW w:w="1117" w:type="dxa"/>
            <w:vAlign w:val="center"/>
          </w:tcPr>
          <w:p>
            <w:pPr>
              <w:spacing w:line="500" w:lineRule="exact"/>
              <w:jc w:val="center"/>
              <w:rPr>
                <w:rFonts w:ascii="仿宋_GB2312" w:hAnsi="仿宋" w:eastAsia="仿宋_GB2312"/>
                <w:kern w:val="0"/>
                <w:sz w:val="28"/>
                <w:szCs w:val="28"/>
              </w:rPr>
            </w:pPr>
            <w:r>
              <w:rPr>
                <w:rFonts w:ascii="仿宋_GB2312" w:hAnsi="仿宋" w:eastAsia="仿宋_GB2312"/>
                <w:kern w:val="0"/>
                <w:sz w:val="28"/>
                <w:szCs w:val="28"/>
              </w:rPr>
              <w:fldChar w:fldCharType="begin"/>
            </w:r>
            <w:r>
              <w:rPr>
                <w:rFonts w:ascii="仿宋_GB2312" w:hAnsi="仿宋" w:eastAsia="仿宋_GB2312"/>
                <w:kern w:val="0"/>
                <w:sz w:val="28"/>
                <w:szCs w:val="28"/>
              </w:rPr>
              <w:instrText xml:space="preserve"> =SUM(ABOVE) </w:instrText>
            </w:r>
            <w:r>
              <w:rPr>
                <w:rFonts w:ascii="仿宋_GB2312" w:hAnsi="仿宋" w:eastAsia="仿宋_GB2312"/>
                <w:kern w:val="0"/>
                <w:sz w:val="28"/>
                <w:szCs w:val="28"/>
              </w:rPr>
              <w:fldChar w:fldCharType="separate"/>
            </w:r>
            <w:r>
              <w:rPr>
                <w:rFonts w:ascii="仿宋_GB2312" w:hAnsi="仿宋" w:eastAsia="仿宋_GB2312"/>
                <w:kern w:val="0"/>
                <w:sz w:val="28"/>
                <w:szCs w:val="28"/>
              </w:rPr>
              <w:t>28</w:t>
            </w:r>
            <w:r>
              <w:rPr>
                <w:rFonts w:ascii="仿宋_GB2312" w:hAnsi="仿宋" w:eastAsia="仿宋_GB2312"/>
                <w:kern w:val="0"/>
                <w:sz w:val="28"/>
                <w:szCs w:val="28"/>
              </w:rPr>
              <w:fldChar w:fldCharType="end"/>
            </w:r>
          </w:p>
        </w:tc>
        <w:tc>
          <w:tcPr>
            <w:tcW w:w="1133" w:type="dxa"/>
            <w:vAlign w:val="center"/>
          </w:tcPr>
          <w:p>
            <w:pPr>
              <w:spacing w:line="500" w:lineRule="exact"/>
              <w:jc w:val="center"/>
              <w:rPr>
                <w:rFonts w:ascii="仿宋_GB2312" w:hAnsi="仿宋" w:eastAsia="仿宋_GB2312"/>
                <w:kern w:val="0"/>
                <w:sz w:val="28"/>
                <w:szCs w:val="28"/>
              </w:rPr>
            </w:pPr>
            <w:r>
              <w:rPr>
                <w:rFonts w:ascii="仿宋_GB2312" w:hAnsi="仿宋" w:eastAsia="仿宋_GB2312"/>
                <w:kern w:val="0"/>
                <w:sz w:val="28"/>
                <w:szCs w:val="28"/>
              </w:rPr>
              <w:fldChar w:fldCharType="begin"/>
            </w:r>
            <w:r>
              <w:rPr>
                <w:rFonts w:ascii="仿宋_GB2312" w:hAnsi="仿宋" w:eastAsia="仿宋_GB2312"/>
                <w:kern w:val="0"/>
                <w:sz w:val="28"/>
                <w:szCs w:val="28"/>
              </w:rPr>
              <w:instrText xml:space="preserve"> =SUM(ABOVE) </w:instrText>
            </w:r>
            <w:r>
              <w:rPr>
                <w:rFonts w:ascii="仿宋_GB2312" w:hAnsi="仿宋" w:eastAsia="仿宋_GB2312"/>
                <w:kern w:val="0"/>
                <w:sz w:val="28"/>
                <w:szCs w:val="28"/>
              </w:rPr>
              <w:fldChar w:fldCharType="separate"/>
            </w:r>
            <w:r>
              <w:rPr>
                <w:rFonts w:ascii="仿宋_GB2312" w:hAnsi="仿宋" w:eastAsia="仿宋_GB2312"/>
                <w:kern w:val="0"/>
                <w:sz w:val="28"/>
                <w:szCs w:val="28"/>
              </w:rPr>
              <w:t>19</w:t>
            </w:r>
            <w:r>
              <w:rPr>
                <w:rFonts w:ascii="仿宋_GB2312" w:hAnsi="仿宋" w:eastAsia="仿宋_GB2312"/>
                <w:kern w:val="0"/>
                <w:sz w:val="28"/>
                <w:szCs w:val="28"/>
              </w:rPr>
              <w:fldChar w:fldCharType="end"/>
            </w:r>
          </w:p>
        </w:tc>
        <w:tc>
          <w:tcPr>
            <w:tcW w:w="1767" w:type="dxa"/>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2</w:t>
            </w:r>
          </w:p>
        </w:tc>
        <w:tc>
          <w:tcPr>
            <w:tcW w:w="1170" w:type="dxa"/>
            <w:vAlign w:val="center"/>
          </w:tcPr>
          <w:p>
            <w:pPr>
              <w:spacing w:line="500" w:lineRule="exact"/>
              <w:jc w:val="center"/>
              <w:rPr>
                <w:rFonts w:ascii="仿宋_GB2312" w:hAnsi="仿宋" w:eastAsia="仿宋_GB2312"/>
                <w:kern w:val="0"/>
                <w:sz w:val="28"/>
                <w:szCs w:val="28"/>
              </w:rPr>
            </w:pPr>
            <w:r>
              <w:rPr>
                <w:rFonts w:ascii="仿宋_GB2312" w:hAnsi="仿宋" w:eastAsia="仿宋_GB2312"/>
                <w:kern w:val="0"/>
                <w:sz w:val="28"/>
                <w:szCs w:val="28"/>
              </w:rPr>
              <w:fldChar w:fldCharType="begin"/>
            </w:r>
            <w:r>
              <w:rPr>
                <w:rFonts w:hint="eastAsia" w:ascii="仿宋_GB2312" w:hAnsi="仿宋" w:eastAsia="仿宋_GB2312"/>
                <w:kern w:val="0"/>
                <w:sz w:val="28"/>
                <w:szCs w:val="28"/>
              </w:rPr>
              <w:instrText xml:space="preserve">=SUM(ABOVE)</w:instrText>
            </w:r>
            <w:r>
              <w:rPr>
                <w:rFonts w:ascii="仿宋_GB2312" w:hAnsi="仿宋" w:eastAsia="仿宋_GB2312"/>
                <w:kern w:val="0"/>
                <w:sz w:val="28"/>
                <w:szCs w:val="28"/>
              </w:rPr>
              <w:fldChar w:fldCharType="separate"/>
            </w:r>
            <w:r>
              <w:rPr>
                <w:rFonts w:ascii="仿宋_GB2312" w:hAnsi="仿宋" w:eastAsia="仿宋_GB2312"/>
                <w:kern w:val="0"/>
                <w:sz w:val="28"/>
                <w:szCs w:val="28"/>
              </w:rPr>
              <w:t>68</w:t>
            </w:r>
            <w:r>
              <w:rPr>
                <w:rFonts w:ascii="仿宋_GB2312" w:hAnsi="仿宋" w:eastAsia="仿宋_GB2312"/>
                <w:kern w:val="0"/>
                <w:sz w:val="28"/>
                <w:szCs w:val="28"/>
              </w:rPr>
              <w:fldChar w:fldCharType="end"/>
            </w:r>
          </w:p>
        </w:tc>
      </w:tr>
    </w:tbl>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在广东大学生科技创新培育专项资金项目（“攀登计划”）申报中，我校2015-2017年共有49个项目立项，获省财政资助87万元，其中2015年立项16项，其中重点项目4项，重点项目数位列全省高校第五位；2016年立项16项，其中重点项目5项，重点项目数位列全省高校第三位；2017年立项17项，其中重点项目5项，重点项目位列全省高校第四位。</w:t>
      </w:r>
    </w:p>
    <w:p>
      <w:pPr>
        <w:spacing w:line="500" w:lineRule="exact"/>
        <w:ind w:firstLine="560" w:firstLineChars="200"/>
        <w:jc w:val="center"/>
        <w:rPr>
          <w:rFonts w:ascii="仿宋_GB2312" w:hAnsi="仿宋" w:eastAsia="仿宋_GB2312"/>
          <w:kern w:val="0"/>
          <w:sz w:val="28"/>
          <w:szCs w:val="28"/>
        </w:rPr>
      </w:pPr>
      <w:r>
        <w:rPr>
          <w:rFonts w:hint="eastAsia" w:ascii="仿宋_GB2312" w:hAnsi="仿宋" w:eastAsia="仿宋_GB2312"/>
          <w:kern w:val="0"/>
          <w:sz w:val="28"/>
          <w:szCs w:val="28"/>
        </w:rPr>
        <w:t>表3：2015-2017年我校在“攀登计划”中的立项情况</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vAlign w:val="center"/>
          </w:tcPr>
          <w:p>
            <w:pPr>
              <w:spacing w:line="500" w:lineRule="exact"/>
              <w:jc w:val="center"/>
              <w:rPr>
                <w:rFonts w:ascii="仿宋_GB2312" w:hAnsi="仿宋" w:eastAsia="仿宋_GB2312"/>
                <w:b/>
                <w:bCs/>
                <w:kern w:val="0"/>
                <w:sz w:val="28"/>
                <w:szCs w:val="28"/>
              </w:rPr>
            </w:pPr>
            <w:r>
              <w:rPr>
                <w:rFonts w:hint="eastAsia" w:ascii="仿宋_GB2312" w:hAnsi="仿宋" w:eastAsia="仿宋_GB2312"/>
                <w:b/>
                <w:bCs/>
                <w:kern w:val="0"/>
                <w:sz w:val="28"/>
                <w:szCs w:val="28"/>
              </w:rPr>
              <w:t>年份</w:t>
            </w:r>
          </w:p>
        </w:tc>
        <w:tc>
          <w:tcPr>
            <w:tcW w:w="1667" w:type="pct"/>
            <w:vAlign w:val="center"/>
          </w:tcPr>
          <w:p>
            <w:pPr>
              <w:spacing w:line="500" w:lineRule="exact"/>
              <w:jc w:val="center"/>
              <w:rPr>
                <w:rFonts w:ascii="仿宋_GB2312" w:hAnsi="仿宋" w:eastAsia="仿宋_GB2312"/>
                <w:b/>
                <w:bCs/>
                <w:kern w:val="0"/>
                <w:sz w:val="28"/>
                <w:szCs w:val="28"/>
              </w:rPr>
            </w:pPr>
            <w:r>
              <w:rPr>
                <w:rFonts w:hint="eastAsia" w:ascii="仿宋_GB2312" w:hAnsi="仿宋" w:eastAsia="仿宋_GB2312"/>
                <w:b/>
                <w:bCs/>
                <w:kern w:val="0"/>
                <w:sz w:val="28"/>
                <w:szCs w:val="28"/>
              </w:rPr>
              <w:t>立项数</w:t>
            </w:r>
          </w:p>
        </w:tc>
        <w:tc>
          <w:tcPr>
            <w:tcW w:w="1667" w:type="pct"/>
            <w:vAlign w:val="center"/>
          </w:tcPr>
          <w:p>
            <w:pPr>
              <w:spacing w:line="500" w:lineRule="exact"/>
              <w:jc w:val="center"/>
              <w:rPr>
                <w:rFonts w:ascii="仿宋_GB2312" w:hAnsi="仿宋" w:eastAsia="仿宋_GB2312"/>
                <w:b/>
                <w:bCs/>
                <w:kern w:val="0"/>
                <w:sz w:val="28"/>
                <w:szCs w:val="28"/>
              </w:rPr>
            </w:pPr>
            <w:r>
              <w:rPr>
                <w:rFonts w:hint="eastAsia" w:ascii="仿宋_GB2312" w:hAnsi="仿宋" w:eastAsia="仿宋_GB2312"/>
                <w:b/>
                <w:bCs/>
                <w:kern w:val="0"/>
                <w:sz w:val="28"/>
                <w:szCs w:val="28"/>
              </w:rPr>
              <w:t>重点项目数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2015</w:t>
            </w:r>
          </w:p>
        </w:tc>
        <w:tc>
          <w:tcPr>
            <w:tcW w:w="1667" w:type="pct"/>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16</w:t>
            </w:r>
          </w:p>
        </w:tc>
        <w:tc>
          <w:tcPr>
            <w:tcW w:w="1667" w:type="pct"/>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2016</w:t>
            </w:r>
          </w:p>
        </w:tc>
        <w:tc>
          <w:tcPr>
            <w:tcW w:w="1667" w:type="pct"/>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16</w:t>
            </w:r>
          </w:p>
        </w:tc>
        <w:tc>
          <w:tcPr>
            <w:tcW w:w="1667" w:type="pct"/>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2017</w:t>
            </w:r>
          </w:p>
        </w:tc>
        <w:tc>
          <w:tcPr>
            <w:tcW w:w="1667" w:type="pct"/>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17</w:t>
            </w:r>
          </w:p>
        </w:tc>
        <w:tc>
          <w:tcPr>
            <w:tcW w:w="1667" w:type="pct"/>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合计</w:t>
            </w:r>
          </w:p>
        </w:tc>
        <w:tc>
          <w:tcPr>
            <w:tcW w:w="1667" w:type="pct"/>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49</w:t>
            </w:r>
          </w:p>
        </w:tc>
        <w:tc>
          <w:tcPr>
            <w:tcW w:w="1667" w:type="pct"/>
            <w:vAlign w:val="center"/>
          </w:tcPr>
          <w:p>
            <w:pPr>
              <w:spacing w:line="500" w:lineRule="exact"/>
              <w:jc w:val="center"/>
              <w:rPr>
                <w:rFonts w:ascii="仿宋_GB2312" w:hAnsi="仿宋" w:eastAsia="仿宋_GB2312"/>
                <w:kern w:val="0"/>
                <w:sz w:val="28"/>
                <w:szCs w:val="28"/>
              </w:rPr>
            </w:pPr>
            <w:r>
              <w:rPr>
                <w:rFonts w:hint="eastAsia" w:ascii="仿宋_GB2312" w:hAnsi="仿宋" w:eastAsia="仿宋_GB2312"/>
                <w:kern w:val="0"/>
                <w:sz w:val="28"/>
                <w:szCs w:val="28"/>
              </w:rPr>
              <w:t>14</w:t>
            </w:r>
          </w:p>
        </w:tc>
      </w:tr>
    </w:tbl>
    <w:p>
      <w:pPr>
        <w:spacing w:line="500" w:lineRule="exact"/>
        <w:ind w:firstLine="562" w:firstLineChars="200"/>
        <w:outlineLvl w:val="1"/>
        <w:rPr>
          <w:rFonts w:ascii="仿宋_GB2312" w:hAnsi="仿宋" w:eastAsia="仿宋_GB2312"/>
          <w:b/>
          <w:kern w:val="0"/>
          <w:sz w:val="28"/>
          <w:szCs w:val="28"/>
        </w:rPr>
      </w:pPr>
      <w:r>
        <w:rPr>
          <w:rFonts w:hint="eastAsia" w:ascii="仿宋_GB2312" w:hAnsi="仿宋" w:eastAsia="仿宋_GB2312"/>
          <w:b/>
          <w:kern w:val="0"/>
          <w:sz w:val="28"/>
          <w:szCs w:val="28"/>
        </w:rPr>
        <w:t>3.创新创业案例建设情况</w:t>
      </w:r>
    </w:p>
    <w:p>
      <w:pPr>
        <w:spacing w:line="500" w:lineRule="exact"/>
        <w:ind w:firstLine="562" w:firstLineChars="200"/>
        <w:outlineLvl w:val="2"/>
        <w:rPr>
          <w:rFonts w:ascii="仿宋_GB2312" w:hAnsi="仿宋" w:eastAsia="仿宋_GB2312"/>
          <w:b/>
          <w:kern w:val="0"/>
          <w:sz w:val="28"/>
          <w:szCs w:val="28"/>
        </w:rPr>
      </w:pPr>
      <w:r>
        <w:rPr>
          <w:rFonts w:hint="eastAsia" w:ascii="仿宋_GB2312" w:hAnsi="仿宋" w:eastAsia="仿宋_GB2312"/>
          <w:b/>
          <w:kern w:val="0"/>
          <w:sz w:val="28"/>
          <w:szCs w:val="28"/>
        </w:rPr>
        <w:t>（1）以《创业基础》课程为基础，建设创新创业基础案例库</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全校通识必修课《创业基础》课程以商业计划写作，作为课程总评成绩的一部分，学生以小组形式完成一份高质量的商业计划书。期末提交的商业计划书纳入学校的创业案例库，每年完成1200余份。</w:t>
      </w:r>
    </w:p>
    <w:p>
      <w:pPr>
        <w:spacing w:line="500" w:lineRule="exact"/>
        <w:ind w:firstLine="562" w:firstLineChars="200"/>
        <w:outlineLvl w:val="2"/>
        <w:rPr>
          <w:rFonts w:ascii="仿宋_GB2312" w:hAnsi="仿宋" w:eastAsia="仿宋_GB2312"/>
          <w:b/>
          <w:kern w:val="0"/>
          <w:sz w:val="28"/>
          <w:szCs w:val="28"/>
        </w:rPr>
      </w:pPr>
      <w:r>
        <w:rPr>
          <w:rFonts w:hint="eastAsia" w:ascii="仿宋_GB2312" w:hAnsi="仿宋" w:eastAsia="仿宋_GB2312"/>
          <w:b/>
          <w:kern w:val="0"/>
          <w:sz w:val="28"/>
          <w:szCs w:val="28"/>
        </w:rPr>
        <w:t>（2）以“双百工程”立项为引导，建设创新创业研究与竞赛案例库</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双百工程”每年固定时间立项建设至少百项校级学术科技创新项目和百项校级创业项目，并作为项目库，与校内外各类创新创业竞赛及立项活动有效对接，是省级与国家级“大创”项目的立项基础。其中，2018-2019学年学校学术类“双百工程”立项达440项，创业类125项，累计3400人次参与该学年双百工程项目。</w:t>
      </w:r>
    </w:p>
    <w:p>
      <w:pPr>
        <w:spacing w:line="500" w:lineRule="exact"/>
        <w:ind w:firstLine="562" w:firstLineChars="200"/>
        <w:outlineLvl w:val="2"/>
        <w:rPr>
          <w:rFonts w:ascii="仿宋_GB2312" w:hAnsi="仿宋" w:eastAsia="仿宋_GB2312"/>
          <w:b/>
          <w:kern w:val="0"/>
          <w:sz w:val="28"/>
          <w:szCs w:val="28"/>
        </w:rPr>
      </w:pPr>
      <w:r>
        <w:rPr>
          <w:rFonts w:hint="eastAsia" w:ascii="仿宋_GB2312" w:hAnsi="仿宋" w:eastAsia="仿宋_GB2312"/>
          <w:b/>
          <w:kern w:val="0"/>
          <w:sz w:val="28"/>
          <w:szCs w:val="28"/>
        </w:rPr>
        <w:t>（3）以“财大创谷”孵化项目为基础，构建创新创业孵化项目案例库</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学校整理了入驻“财大创谷”创业园区70余家创业团队与创业项目，涵盖项目入园评审、项目孵化帮扶、项目出园再发展等详细信息，为未来入驻创业园区的创业项目和团队提供有益借鉴。</w:t>
      </w:r>
    </w:p>
    <w:p>
      <w:pPr>
        <w:spacing w:line="500" w:lineRule="exact"/>
        <w:ind w:firstLine="562" w:firstLineChars="200"/>
        <w:outlineLvl w:val="2"/>
        <w:rPr>
          <w:rFonts w:ascii="仿宋_GB2312" w:hAnsi="仿宋" w:eastAsia="仿宋_GB2312"/>
          <w:b/>
          <w:kern w:val="0"/>
          <w:sz w:val="28"/>
          <w:szCs w:val="28"/>
        </w:rPr>
      </w:pPr>
      <w:r>
        <w:rPr>
          <w:rFonts w:hint="eastAsia" w:ascii="仿宋_GB2312" w:hAnsi="仿宋" w:eastAsia="仿宋_GB2312"/>
          <w:b/>
          <w:kern w:val="0"/>
          <w:sz w:val="28"/>
          <w:szCs w:val="28"/>
        </w:rPr>
        <w:t>（4）以创新创业云服务平台为主体，开放共享创新创业案例库</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学校积极构建学生创新创业云服务平台，为创业学生共享创业资源、创业案例及创业经验，为组织创业交流等搭建服务平台，构建学生创新创业档案，记录学生创业经历，构建创新创业经验交流借鉴持续改善的平台。</w:t>
      </w:r>
    </w:p>
    <w:p>
      <w:pPr>
        <w:spacing w:line="500" w:lineRule="exact"/>
        <w:ind w:firstLine="562" w:firstLineChars="200"/>
        <w:outlineLvl w:val="1"/>
        <w:rPr>
          <w:rFonts w:ascii="仿宋_GB2312" w:hAnsi="仿宋" w:eastAsia="仿宋_GB2312"/>
          <w:b/>
          <w:kern w:val="0"/>
          <w:sz w:val="28"/>
          <w:szCs w:val="28"/>
        </w:rPr>
      </w:pPr>
      <w:r>
        <w:rPr>
          <w:rFonts w:hint="eastAsia" w:ascii="仿宋_GB2312" w:hAnsi="仿宋" w:eastAsia="仿宋_GB2312"/>
          <w:b/>
          <w:kern w:val="0"/>
          <w:sz w:val="28"/>
          <w:szCs w:val="28"/>
        </w:rPr>
        <w:t>4.创新创业文化氛围</w:t>
      </w:r>
    </w:p>
    <w:p>
      <w:pPr>
        <w:spacing w:line="500" w:lineRule="exact"/>
        <w:ind w:firstLine="562" w:firstLineChars="200"/>
        <w:outlineLvl w:val="2"/>
        <w:rPr>
          <w:rFonts w:ascii="仿宋_GB2312" w:hAnsi="仿宋" w:eastAsia="仿宋_GB2312"/>
          <w:b/>
          <w:kern w:val="0"/>
          <w:sz w:val="28"/>
          <w:szCs w:val="28"/>
        </w:rPr>
      </w:pPr>
      <w:r>
        <w:rPr>
          <w:rFonts w:hint="eastAsia" w:ascii="仿宋_GB2312" w:hAnsi="仿宋" w:eastAsia="仿宋_GB2312"/>
          <w:b/>
          <w:kern w:val="0"/>
          <w:sz w:val="28"/>
          <w:szCs w:val="28"/>
        </w:rPr>
        <w:t>（1）线上线下全方位建设创新创业宣传阵地</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建设创业教育学院网站、创新创业服务网以及移动端创新创业服务平台，同时深度与新华社客户端、广东电视台、广州日报等主流媒体合作，拓宽我校创新创业宣传阵地。我校学生创业团队自主策划的职涯书院“精英捐赠两小时”公益活动被人民网、新华社客户端、广东省教育厅资讯中心、广州电视台、南方都市报、中国新闻报道、东方头条等报道，其中新华社报道一天内达105万人观看。</w:t>
      </w:r>
    </w:p>
    <w:p>
      <w:pPr>
        <w:spacing w:line="500" w:lineRule="exact"/>
        <w:ind w:firstLine="562" w:firstLineChars="200"/>
        <w:outlineLvl w:val="2"/>
        <w:rPr>
          <w:rFonts w:ascii="仿宋_GB2312" w:hAnsi="仿宋" w:eastAsia="仿宋_GB2312"/>
          <w:b/>
          <w:kern w:val="0"/>
          <w:sz w:val="28"/>
          <w:szCs w:val="28"/>
        </w:rPr>
      </w:pPr>
      <w:r>
        <w:rPr>
          <w:rFonts w:hint="eastAsia" w:ascii="仿宋_GB2312" w:hAnsi="仿宋" w:eastAsia="仿宋_GB2312"/>
          <w:b/>
          <w:kern w:val="0"/>
          <w:sz w:val="28"/>
          <w:szCs w:val="28"/>
        </w:rPr>
        <w:t>（2）营造浓厚创新创业文化氛围</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我校已承办五届广东省人社厅组织的初创企业经营者素质提升研修班，并承办了中国创业教育师资培训项目、SYB创业培训等师资培训项目。</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创业教育学院建设了“企业家研讨会”品牌活动，通过将知名企业家请进校园与学生互动，使学生了解创业、理解企业，截止目前已开展51期；校团委组织开展4期“双百工程”培育创新创业项目并推进成果转化，创新创业部组织“互联网+”、挑战杯大学生创业竞赛、组织“广财青创100”培训、攀登计划、大创项目宣讲活动等。</w:t>
      </w:r>
    </w:p>
    <w:p>
      <w:pPr>
        <w:spacing w:line="500" w:lineRule="exact"/>
        <w:ind w:firstLine="560" w:firstLineChars="200"/>
        <w:rPr>
          <w:rFonts w:ascii="仿宋_GB2312" w:hAnsi="仿宋" w:eastAsia="仿宋_GB2312"/>
          <w:kern w:val="0"/>
          <w:sz w:val="28"/>
          <w:szCs w:val="28"/>
        </w:rPr>
      </w:pPr>
      <w:r>
        <w:rPr>
          <w:rFonts w:hint="eastAsia" w:ascii="仿宋_GB2312" w:hAnsi="仿宋" w:eastAsia="仿宋_GB2312"/>
          <w:kern w:val="0"/>
          <w:sz w:val="28"/>
          <w:szCs w:val="28"/>
        </w:rPr>
        <w:t>建立了创业协会、创客俱乐部、KAB俱乐部等创新创业学习组织，开展大学生创业小夜市、广东财经大学创业交易会创新创业实践活动，并已开展八届“赢在广财”创新创业系列竞赛活动等，营造了浓厚的校园创新创业文化氛围。</w:t>
      </w:r>
    </w:p>
    <w:p>
      <w:pPr>
        <w:spacing w:line="500" w:lineRule="exact"/>
        <w:ind w:firstLine="602" w:firstLineChars="200"/>
        <w:outlineLvl w:val="0"/>
        <w:rPr>
          <w:rFonts w:ascii="仿宋_GB2312" w:hAnsi="仿宋" w:eastAsia="仿宋_GB2312"/>
          <w:b/>
          <w:kern w:val="0"/>
          <w:sz w:val="30"/>
          <w:szCs w:val="30"/>
        </w:rPr>
      </w:pPr>
      <w:r>
        <w:rPr>
          <w:rFonts w:hint="eastAsia" w:ascii="仿宋_GB2312" w:hAnsi="仿宋" w:eastAsia="仿宋_GB2312"/>
          <w:b/>
          <w:kern w:val="0"/>
          <w:sz w:val="30"/>
          <w:szCs w:val="30"/>
        </w:rPr>
        <w:t>五、特色亮点与辐射带动</w:t>
      </w:r>
    </w:p>
    <w:p>
      <w:pPr>
        <w:spacing w:line="500" w:lineRule="exact"/>
        <w:ind w:firstLine="562" w:firstLineChars="200"/>
        <w:outlineLvl w:val="1"/>
        <w:rPr>
          <w:rFonts w:ascii="仿宋_GB2312" w:hAnsi="宋体" w:eastAsia="仿宋_GB2312"/>
          <w:b/>
          <w:sz w:val="28"/>
          <w:szCs w:val="28"/>
        </w:rPr>
      </w:pPr>
      <w:r>
        <w:rPr>
          <w:rFonts w:hint="eastAsia" w:ascii="仿宋_GB2312" w:hAnsi="宋体" w:eastAsia="仿宋_GB2312"/>
          <w:b/>
          <w:sz w:val="28"/>
          <w:szCs w:val="28"/>
        </w:rPr>
        <w:t>1. 创新工作机制与管理体制，深入推进创新创业教育改革</w:t>
      </w:r>
    </w:p>
    <w:p>
      <w:pPr>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学校实施“一把手”工程，成立广东财经大学深化创新创业教育改革领导小组，学校党委书记和校长同时担任小组组长。成立了创新创业教育教学指导委员会和大学学生创业园区管理委员会，并聘请了本校经济、管理、法学等学科带头人，以及广东粤科金融集团、中科招商等大型企业高管担任委员。</w:t>
      </w:r>
    </w:p>
    <w:p>
      <w:pPr>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2008年，学校成立“具有企业家精神和潜质的经济管理人才培养模式创新实验区”，2009年该实验区获批建设为国家级人才培养模式创新实验区。2012年在实验区建设的基础上，成立具有独立编制的创业教育学院，每年面向全校遴选50-100名学生转入实验区学习，开展专业化的创业管理教育。实验区已毕业学生399人，其中15名学生已成功创业，</w:t>
      </w:r>
      <w:r>
        <w:rPr>
          <w:rFonts w:hint="eastAsia" w:ascii="仿宋_GB2312" w:hAnsi="新宋体" w:eastAsia="仿宋_GB2312"/>
          <w:sz w:val="28"/>
          <w:szCs w:val="28"/>
        </w:rPr>
        <w:t>为社会创造了更多的</w:t>
      </w:r>
      <w:r>
        <w:rPr>
          <w:rFonts w:hint="eastAsia" w:ascii="仿宋_GB2312" w:hAnsi="宋体" w:eastAsia="仿宋_GB2312"/>
          <w:sz w:val="28"/>
          <w:szCs w:val="28"/>
        </w:rPr>
        <w:t>财富与就业机会。</w:t>
      </w:r>
    </w:p>
    <w:p>
      <w:pPr>
        <w:spacing w:line="500" w:lineRule="exact"/>
        <w:ind w:firstLine="562" w:firstLineChars="200"/>
        <w:outlineLvl w:val="1"/>
        <w:rPr>
          <w:rFonts w:ascii="宋体" w:hAnsi="宋体"/>
          <w:b/>
          <w:sz w:val="28"/>
          <w:szCs w:val="28"/>
        </w:rPr>
      </w:pPr>
      <w:r>
        <w:rPr>
          <w:rFonts w:hint="eastAsia" w:ascii="仿宋_GB2312" w:hAnsi="宋体" w:eastAsia="仿宋_GB2312"/>
          <w:b/>
          <w:sz w:val="28"/>
          <w:szCs w:val="28"/>
        </w:rPr>
        <w:t>2.科学构建创新创业人才培养体系，强化专创融合</w:t>
      </w:r>
    </w:p>
    <w:p>
      <w:pPr>
        <w:snapToGrid w:val="0"/>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学校建设了由创新创业通识教育、拔尖创新人才培养和创新创业专项培训体组成的“广谱式”创新创业人才培养体系。</w:t>
      </w:r>
    </w:p>
    <w:p>
      <w:pPr>
        <w:snapToGrid w:val="0"/>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学校将《创业基础》设定为全校通识必修课，并建设了由通识类创新创业课程、专业类创新创业课程和开放式课程组成的创新创业教育课程体系。在通识选修课程中设置“思维与方法”模块，开设《批判性思维》等30门课程；设置“自然与科技”模块，开设《自然科学前沿专题》等30门课程；设置“创新与创业”模块，开设《设计思维》、《创业计划制作实务》、《创业与管理：决策模拟》、《SYB创业培训》等18门课程。立项建设了《创意思维》和《创业基础》等五门创新创业类省级精品资源共享课，出版了《创业基础》、《创业投融资》等8门创新创业教育系列教材。</w:t>
      </w:r>
    </w:p>
    <w:p>
      <w:pPr>
        <w:spacing w:line="500" w:lineRule="exact"/>
        <w:ind w:firstLine="562" w:firstLineChars="200"/>
        <w:outlineLvl w:val="1"/>
        <w:rPr>
          <w:rFonts w:ascii="宋体" w:hAnsi="宋体"/>
          <w:b/>
          <w:sz w:val="28"/>
          <w:szCs w:val="28"/>
        </w:rPr>
      </w:pPr>
      <w:r>
        <w:rPr>
          <w:rFonts w:hint="eastAsia" w:ascii="仿宋_GB2312" w:hAnsi="仿宋" w:eastAsia="仿宋_GB2312"/>
          <w:b/>
          <w:kern w:val="0"/>
          <w:sz w:val="28"/>
          <w:szCs w:val="28"/>
        </w:rPr>
        <w:t>3.搭建生态型链条式创新创业实践平台，强化产教融合</w:t>
      </w:r>
    </w:p>
    <w:p>
      <w:pPr>
        <w:snapToGrid w:val="0"/>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学校建设了由经济管理国家级实验教学示范中心（国家级虚拟仿真实验教学中心）、智慧型创新创业教室、财大创谷（创业孵化园）、创新创业校外实践基地、海外创新创业实践平台和创新创业云服务平台组成的生态型链条式创新创业教育实践平台。其中“财大创谷”占地4050平方米，建设有文创孵化区、电商创业孵化区、创新创业文化展示中心、创客实验室、创客咖啡、孵化园等功能区。2017年12月，“财大创谷”获评广州市众创空间称号。近三年来，“财大创谷”累计入驻创业团队和企业70余家，孵化了广州艾晨斯品牌策划有限公司、广州衣原堂服装有限公司、广州天梯文化传媒有限公司等多家企业，年营业额达百万以上。</w:t>
      </w:r>
    </w:p>
    <w:p>
      <w:pPr>
        <w:spacing w:line="500" w:lineRule="exact"/>
        <w:ind w:firstLine="562" w:firstLineChars="200"/>
        <w:outlineLvl w:val="1"/>
        <w:rPr>
          <w:rFonts w:ascii="仿宋_GB2312" w:hAnsi="宋体" w:eastAsia="仿宋_GB2312"/>
          <w:b/>
          <w:sz w:val="28"/>
          <w:szCs w:val="28"/>
        </w:rPr>
      </w:pPr>
      <w:r>
        <w:rPr>
          <w:rFonts w:hint="eastAsia" w:ascii="仿宋_GB2312" w:hAnsi="宋体" w:eastAsia="仿宋_GB2312"/>
          <w:b/>
          <w:sz w:val="28"/>
          <w:szCs w:val="28"/>
        </w:rPr>
        <w:t>4.构建双创项目培育体系，推动全员参与创新创业实践</w:t>
      </w:r>
    </w:p>
    <w:p>
      <w:pPr>
        <w:spacing w:line="500" w:lineRule="exact"/>
        <w:ind w:firstLine="560" w:firstLineChars="200"/>
        <w:rPr>
          <w:rFonts w:ascii="仿宋_GB2312" w:hAnsi="仿宋" w:eastAsia="仿宋_GB2312"/>
          <w:kern w:val="0"/>
          <w:sz w:val="28"/>
          <w:szCs w:val="28"/>
        </w:rPr>
      </w:pPr>
      <w:r>
        <w:rPr>
          <w:rFonts w:hint="eastAsia" w:ascii="仿宋_GB2312" w:hAnsi="宋体" w:eastAsia="仿宋_GB2312"/>
          <w:sz w:val="28"/>
          <w:szCs w:val="28"/>
        </w:rPr>
        <w:t>学校将教务处负责的大学生创新创业训练计划项目、学生处负责的学生科研项目和校团委负责的创新创业竞赛项目进行整合，出台《广东财经大学大学生创新创业项目培育“双百工程”实施方案》，每年固定时间立项建设至少百项学术科技创新项目和百项创业项目。“双百工程”立项与校内外各类创新创业竞赛及立项活动有效对接，其项目库是省级国家级“大创”项目和“挑战杯”、“互联网+”等权威创新创业赛事的唯一项目来源。近三年“双百工程”学术科技创新类立项累积890项，创业类立项358项。以“双百工程”建设为基础，在近三年的“互联网+”大学生创新创大赛中，我校获省赛银奖3项、铜奖2项；</w:t>
      </w:r>
      <w:r>
        <w:rPr>
          <w:rFonts w:hint="eastAsia" w:ascii="仿宋_GB2312" w:hAnsi="仿宋" w:eastAsia="仿宋_GB2312"/>
          <w:kern w:val="0"/>
          <w:sz w:val="28"/>
          <w:szCs w:val="28"/>
        </w:rPr>
        <w:t>在2017年“挑战杯”课外科技作品竞赛国赛中，我校获一等奖2项，二等奖1项；近四年挑战杯省赛中，我校学生获特等奖6项、金奖13项、银奖28项、铜奖19项，学校两次获得集体荣誉“优创杯”。</w:t>
      </w:r>
    </w:p>
    <w:p>
      <w:pPr>
        <w:spacing w:line="500" w:lineRule="exact"/>
        <w:ind w:firstLine="562" w:firstLineChars="200"/>
        <w:outlineLvl w:val="1"/>
        <w:rPr>
          <w:rFonts w:ascii="仿宋_GB2312" w:hAnsi="宋体" w:eastAsia="仿宋_GB2312"/>
          <w:b/>
          <w:sz w:val="28"/>
          <w:szCs w:val="28"/>
        </w:rPr>
      </w:pPr>
      <w:r>
        <w:rPr>
          <w:rFonts w:hint="eastAsia" w:ascii="仿宋_GB2312" w:hAnsi="宋体" w:eastAsia="仿宋_GB2312"/>
          <w:b/>
          <w:sz w:val="28"/>
          <w:szCs w:val="28"/>
        </w:rPr>
        <w:t>5.强化国内外交流与合作，推进创新创业教育国际化</w:t>
      </w:r>
    </w:p>
    <w:p>
      <w:pPr>
        <w:snapToGrid w:val="0"/>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2017年，经中国高教学会高等财经教育分会决定，我校副校长杜承铭受聘为全国财经院校创新创业协作组副理事长，刘湘云为副秘书长。学校先后创建了“广东财经大学国际化师资海外研修基地”的美国佩斯大学站和西澳大学站，每年安排40名中青年骨干教师赴海外研修，并安排专项资金选派创新创业核心教师赴美国百森商学院、新加坡南洋理工大学参加“创业思维与行动”（TETA）等培训项目，已有5名教师顺利获得TETA等国际创业师资培训证书。为拓展学生的国际化视野，学校创建了“广东财经大学海外创业实践教学基地”，目前已建设有欧洲站（德国欧福大学）、大洋洲站（新西兰商学院）、非洲站（坦桑尼亚金融管理大学）、亚洲站（以色列特拉维夫大学），学校按生均1万元标准，已资助170名学生利用暑期赴海外实践教学基地参与创新创业培训和实践。</w:t>
      </w:r>
    </w:p>
    <w:p>
      <w:pPr>
        <w:spacing w:line="500" w:lineRule="exact"/>
        <w:ind w:firstLine="562" w:firstLineChars="200"/>
        <w:outlineLvl w:val="1"/>
        <w:rPr>
          <w:rFonts w:ascii="仿宋_GB2312" w:hAnsi="宋体" w:eastAsia="仿宋_GB2312"/>
          <w:b/>
          <w:sz w:val="28"/>
          <w:szCs w:val="28"/>
        </w:rPr>
      </w:pPr>
      <w:r>
        <w:rPr>
          <w:rFonts w:hint="eastAsia" w:ascii="仿宋_GB2312" w:hAnsi="宋体" w:eastAsia="仿宋_GB2312"/>
          <w:b/>
          <w:sz w:val="28"/>
          <w:szCs w:val="28"/>
        </w:rPr>
        <w:t>6.创新创业教育成果显著，示范与辐射带动作用明显</w:t>
      </w:r>
    </w:p>
    <w:p>
      <w:pPr>
        <w:spacing w:line="500" w:lineRule="exact"/>
        <w:ind w:firstLine="560" w:firstLineChars="200"/>
        <w:rPr>
          <w:rFonts w:hint="eastAsia" w:ascii="仿宋_GB2312" w:hAnsi="新宋体" w:eastAsia="仿宋_GB2312"/>
          <w:sz w:val="28"/>
          <w:szCs w:val="28"/>
        </w:rPr>
      </w:pPr>
      <w:r>
        <w:rPr>
          <w:rFonts w:hint="eastAsia" w:ascii="仿宋_GB2312" w:hAnsi="宋体" w:eastAsia="仿宋_GB2312"/>
          <w:sz w:val="28"/>
          <w:szCs w:val="28"/>
        </w:rPr>
        <w:t>经过多年建设，我校创新创业教育改革取得系列成果，包括国家级人才培养模式创新实验区、全国首批国家级卓越法律人才教育培养基地、广东省首批协同育人平台（国际化应用型会计人才协同育人平台）等，我校学生在权威创新创业赛事中也屡获佳绩。</w:t>
      </w:r>
      <w:r>
        <w:rPr>
          <w:rFonts w:hint="eastAsia" w:ascii="仿宋_GB2312" w:hAnsi="新宋体" w:eastAsia="仿宋_GB2312"/>
          <w:sz w:val="28"/>
          <w:szCs w:val="28"/>
        </w:rPr>
        <w:t>学校也涌现了一批创业先进典型，2012届毕业生王晟，作为第一好车联合创始人，主要在北京，上海，杭州从事线下二手车交易，汽车金融，融资租赁，赛事活动等业务，目前企业员工过百人，年化营收接近50亿，先后获得新华网，人民日报，腾讯新闻，新浪，福布斯杂志等几十家主流媒体报道；2015届毕业生陈章联合创办武汉莘者酷电子商务有限公司，目前主要负责华南区市场拓展。全职员工30多人，兼职员工200余人，年营业额1600多万；2016届毕业生王龙华、陈游在乌干达创办中国林业国际发展有限公司，从事松脂采收业务，2018年营业收入达到4500万人民币，净利润1400多万人民币。</w:t>
      </w:r>
    </w:p>
    <w:p>
      <w:pPr>
        <w:spacing w:line="500" w:lineRule="exact"/>
        <w:ind w:firstLine="560" w:firstLineChars="200"/>
        <w:rPr>
          <w:rFonts w:ascii="仿宋_GB2312" w:hAnsi="新宋体" w:eastAsia="仿宋_GB2312"/>
          <w:sz w:val="28"/>
          <w:szCs w:val="28"/>
        </w:rPr>
      </w:pPr>
      <w:r>
        <w:rPr>
          <w:rFonts w:hint="eastAsia" w:ascii="仿宋_GB2312" w:hAnsi="新宋体" w:eastAsia="仿宋_GB2312"/>
          <w:sz w:val="28"/>
          <w:szCs w:val="28"/>
        </w:rPr>
        <w:t>经过多年的改革，广东财经大学创新创业教育有了长足的发展，“具有企业家精神和潜质的人才培养模式创新实验区建设及成效”获第七届广东省教育教学成果奖（高等教育）一等奖，“财经类高校创业应用型人才培养模式改革与实践” 获第八届广东省教育教学成果奖（高等教育）二等奖，学生创新精神不断增强，创业能力不断提升，具有财经高校特色的创新创业教育模式得到国内同类院校的肯定，具有较强的示范作用。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2889672"/>
      <w:docPartObj>
        <w:docPartGallery w:val="autotext"/>
      </w:docPartObj>
    </w:sdtPr>
    <w:sdtContent>
      <w:p>
        <w:pPr>
          <w:pStyle w:val="4"/>
          <w:jc w:val="center"/>
        </w:pPr>
        <w:r>
          <w:fldChar w:fldCharType="begin"/>
        </w:r>
        <w:r>
          <w:instrText xml:space="preserve">PAGE   \* MERGEFORMAT </w:instrText>
        </w:r>
        <w:r>
          <w:fldChar w:fldCharType="separate"/>
        </w:r>
        <w:r>
          <w:rPr>
            <w:lang w:val="zh-CN"/>
          </w:rPr>
          <w:t>18</w:t>
        </w:r>
        <w:r>
          <w:rPr>
            <w:lang w:val="zh-CN"/>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lNGUyYTBmNjA4OTkxYzkxYzNkZDIyNTViNzExYWUifQ=="/>
  </w:docVars>
  <w:rsids>
    <w:rsidRoot w:val="002F3B0C"/>
    <w:rsid w:val="00005742"/>
    <w:rsid w:val="00016BFE"/>
    <w:rsid w:val="00033FA4"/>
    <w:rsid w:val="00042D37"/>
    <w:rsid w:val="00045EA3"/>
    <w:rsid w:val="0005228A"/>
    <w:rsid w:val="00064E1B"/>
    <w:rsid w:val="00066548"/>
    <w:rsid w:val="00083E77"/>
    <w:rsid w:val="000B66C6"/>
    <w:rsid w:val="000C1973"/>
    <w:rsid w:val="000C6FCE"/>
    <w:rsid w:val="000D5857"/>
    <w:rsid w:val="000E0722"/>
    <w:rsid w:val="000E56A9"/>
    <w:rsid w:val="000E7C7B"/>
    <w:rsid w:val="000E7DFA"/>
    <w:rsid w:val="000F35DC"/>
    <w:rsid w:val="00103D1A"/>
    <w:rsid w:val="00132342"/>
    <w:rsid w:val="001324D6"/>
    <w:rsid w:val="001608A0"/>
    <w:rsid w:val="00161A69"/>
    <w:rsid w:val="00161BB4"/>
    <w:rsid w:val="00162AC5"/>
    <w:rsid w:val="00183B76"/>
    <w:rsid w:val="00191642"/>
    <w:rsid w:val="00195F73"/>
    <w:rsid w:val="001A13D5"/>
    <w:rsid w:val="001A54E9"/>
    <w:rsid w:val="001B05FE"/>
    <w:rsid w:val="001B10E6"/>
    <w:rsid w:val="001D0309"/>
    <w:rsid w:val="001E211E"/>
    <w:rsid w:val="001F0883"/>
    <w:rsid w:val="001F15BB"/>
    <w:rsid w:val="001F3C64"/>
    <w:rsid w:val="00217732"/>
    <w:rsid w:val="00221CA6"/>
    <w:rsid w:val="002369D2"/>
    <w:rsid w:val="00236B8F"/>
    <w:rsid w:val="00246B26"/>
    <w:rsid w:val="0027167D"/>
    <w:rsid w:val="00271F88"/>
    <w:rsid w:val="00274BD9"/>
    <w:rsid w:val="00275D40"/>
    <w:rsid w:val="00282906"/>
    <w:rsid w:val="00284262"/>
    <w:rsid w:val="00294409"/>
    <w:rsid w:val="0029571B"/>
    <w:rsid w:val="002B6710"/>
    <w:rsid w:val="002B69CB"/>
    <w:rsid w:val="002C10A2"/>
    <w:rsid w:val="002D4524"/>
    <w:rsid w:val="002D4E1F"/>
    <w:rsid w:val="002E1373"/>
    <w:rsid w:val="002E200B"/>
    <w:rsid w:val="002F1BE6"/>
    <w:rsid w:val="002F3B0C"/>
    <w:rsid w:val="002F64B5"/>
    <w:rsid w:val="00320E78"/>
    <w:rsid w:val="00324994"/>
    <w:rsid w:val="00326180"/>
    <w:rsid w:val="00342DC0"/>
    <w:rsid w:val="00344B87"/>
    <w:rsid w:val="00345A67"/>
    <w:rsid w:val="003470D2"/>
    <w:rsid w:val="00373BF8"/>
    <w:rsid w:val="00374F36"/>
    <w:rsid w:val="00380E17"/>
    <w:rsid w:val="00384C78"/>
    <w:rsid w:val="003A6674"/>
    <w:rsid w:val="003C3FB0"/>
    <w:rsid w:val="003D7C7B"/>
    <w:rsid w:val="003F0789"/>
    <w:rsid w:val="003F372C"/>
    <w:rsid w:val="003F5D1B"/>
    <w:rsid w:val="003F6B3C"/>
    <w:rsid w:val="004258CB"/>
    <w:rsid w:val="00456E84"/>
    <w:rsid w:val="00470F2E"/>
    <w:rsid w:val="004744A3"/>
    <w:rsid w:val="004745BA"/>
    <w:rsid w:val="0048386F"/>
    <w:rsid w:val="0048603E"/>
    <w:rsid w:val="00495A99"/>
    <w:rsid w:val="004A3084"/>
    <w:rsid w:val="004A74DD"/>
    <w:rsid w:val="004C2FEE"/>
    <w:rsid w:val="004D4EEA"/>
    <w:rsid w:val="004E26BE"/>
    <w:rsid w:val="004E5865"/>
    <w:rsid w:val="004F4877"/>
    <w:rsid w:val="00501824"/>
    <w:rsid w:val="00503A55"/>
    <w:rsid w:val="00511340"/>
    <w:rsid w:val="00511F56"/>
    <w:rsid w:val="00521CAC"/>
    <w:rsid w:val="005248D6"/>
    <w:rsid w:val="0054071B"/>
    <w:rsid w:val="0054696D"/>
    <w:rsid w:val="005511CF"/>
    <w:rsid w:val="005530B0"/>
    <w:rsid w:val="00557026"/>
    <w:rsid w:val="00580D3D"/>
    <w:rsid w:val="00584FA1"/>
    <w:rsid w:val="00592460"/>
    <w:rsid w:val="005B4329"/>
    <w:rsid w:val="005C21C0"/>
    <w:rsid w:val="005D5F0C"/>
    <w:rsid w:val="005E2C41"/>
    <w:rsid w:val="005F3F47"/>
    <w:rsid w:val="005F61AD"/>
    <w:rsid w:val="006146C1"/>
    <w:rsid w:val="0062695F"/>
    <w:rsid w:val="0063737C"/>
    <w:rsid w:val="006376A7"/>
    <w:rsid w:val="00644837"/>
    <w:rsid w:val="00650CD8"/>
    <w:rsid w:val="00651952"/>
    <w:rsid w:val="00660AF1"/>
    <w:rsid w:val="006614F9"/>
    <w:rsid w:val="00697029"/>
    <w:rsid w:val="006A398C"/>
    <w:rsid w:val="006B3A06"/>
    <w:rsid w:val="006C177B"/>
    <w:rsid w:val="006D4658"/>
    <w:rsid w:val="006F0A49"/>
    <w:rsid w:val="00701593"/>
    <w:rsid w:val="007018E6"/>
    <w:rsid w:val="00744CF4"/>
    <w:rsid w:val="00746835"/>
    <w:rsid w:val="00747B9F"/>
    <w:rsid w:val="0076143E"/>
    <w:rsid w:val="007619F5"/>
    <w:rsid w:val="007716C8"/>
    <w:rsid w:val="00785D1A"/>
    <w:rsid w:val="007A3188"/>
    <w:rsid w:val="007A4455"/>
    <w:rsid w:val="007B0C0D"/>
    <w:rsid w:val="007C06AC"/>
    <w:rsid w:val="007D1F11"/>
    <w:rsid w:val="007D2EBF"/>
    <w:rsid w:val="007F0C69"/>
    <w:rsid w:val="008017FA"/>
    <w:rsid w:val="00812E7A"/>
    <w:rsid w:val="00817CA9"/>
    <w:rsid w:val="00822169"/>
    <w:rsid w:val="0083288F"/>
    <w:rsid w:val="00872E3F"/>
    <w:rsid w:val="00872E84"/>
    <w:rsid w:val="0088458E"/>
    <w:rsid w:val="008A5B45"/>
    <w:rsid w:val="008A6717"/>
    <w:rsid w:val="008B1D5C"/>
    <w:rsid w:val="008B6D7D"/>
    <w:rsid w:val="008D1726"/>
    <w:rsid w:val="008D3C9D"/>
    <w:rsid w:val="008D4B8A"/>
    <w:rsid w:val="008E76C4"/>
    <w:rsid w:val="008F3F6A"/>
    <w:rsid w:val="00901D63"/>
    <w:rsid w:val="009119D2"/>
    <w:rsid w:val="00941EC2"/>
    <w:rsid w:val="00945DA4"/>
    <w:rsid w:val="00947C36"/>
    <w:rsid w:val="00963D60"/>
    <w:rsid w:val="00970C4C"/>
    <w:rsid w:val="00970C50"/>
    <w:rsid w:val="009A3F7F"/>
    <w:rsid w:val="009B556A"/>
    <w:rsid w:val="009C1942"/>
    <w:rsid w:val="009C1DBE"/>
    <w:rsid w:val="009C2358"/>
    <w:rsid w:val="009C25A6"/>
    <w:rsid w:val="009D033A"/>
    <w:rsid w:val="009E33C0"/>
    <w:rsid w:val="00A32AAA"/>
    <w:rsid w:val="00A426ED"/>
    <w:rsid w:val="00A42C0E"/>
    <w:rsid w:val="00A43A19"/>
    <w:rsid w:val="00A50AB9"/>
    <w:rsid w:val="00A626DB"/>
    <w:rsid w:val="00A8270E"/>
    <w:rsid w:val="00A85B63"/>
    <w:rsid w:val="00A90D2C"/>
    <w:rsid w:val="00AA438C"/>
    <w:rsid w:val="00AA7880"/>
    <w:rsid w:val="00AD65E5"/>
    <w:rsid w:val="00AE60AC"/>
    <w:rsid w:val="00AF1321"/>
    <w:rsid w:val="00B13C58"/>
    <w:rsid w:val="00B227C4"/>
    <w:rsid w:val="00B272B1"/>
    <w:rsid w:val="00B40F1C"/>
    <w:rsid w:val="00B477EA"/>
    <w:rsid w:val="00B53A9B"/>
    <w:rsid w:val="00B72E32"/>
    <w:rsid w:val="00B75B7B"/>
    <w:rsid w:val="00B800BC"/>
    <w:rsid w:val="00B837DD"/>
    <w:rsid w:val="00B9103C"/>
    <w:rsid w:val="00BB0FD7"/>
    <w:rsid w:val="00BC36DF"/>
    <w:rsid w:val="00BC470D"/>
    <w:rsid w:val="00BD2628"/>
    <w:rsid w:val="00BD7D76"/>
    <w:rsid w:val="00BE449D"/>
    <w:rsid w:val="00C00470"/>
    <w:rsid w:val="00C1079F"/>
    <w:rsid w:val="00C16F14"/>
    <w:rsid w:val="00C316A2"/>
    <w:rsid w:val="00C35EAE"/>
    <w:rsid w:val="00C40A4F"/>
    <w:rsid w:val="00C531D6"/>
    <w:rsid w:val="00C62171"/>
    <w:rsid w:val="00C64232"/>
    <w:rsid w:val="00C64B46"/>
    <w:rsid w:val="00C6585E"/>
    <w:rsid w:val="00C74626"/>
    <w:rsid w:val="00C86968"/>
    <w:rsid w:val="00C95E15"/>
    <w:rsid w:val="00CA1892"/>
    <w:rsid w:val="00CA6EBC"/>
    <w:rsid w:val="00CB2C38"/>
    <w:rsid w:val="00CB5DA6"/>
    <w:rsid w:val="00CC75DD"/>
    <w:rsid w:val="00CD178F"/>
    <w:rsid w:val="00CD3396"/>
    <w:rsid w:val="00CD7B3E"/>
    <w:rsid w:val="00D12590"/>
    <w:rsid w:val="00D15C4E"/>
    <w:rsid w:val="00D43CAB"/>
    <w:rsid w:val="00D462C3"/>
    <w:rsid w:val="00D56923"/>
    <w:rsid w:val="00D63309"/>
    <w:rsid w:val="00D735BC"/>
    <w:rsid w:val="00D97331"/>
    <w:rsid w:val="00DA1AC9"/>
    <w:rsid w:val="00DB3039"/>
    <w:rsid w:val="00DB417D"/>
    <w:rsid w:val="00DC0F9B"/>
    <w:rsid w:val="00DD2C73"/>
    <w:rsid w:val="00DD32C6"/>
    <w:rsid w:val="00DF283B"/>
    <w:rsid w:val="00E0538C"/>
    <w:rsid w:val="00E06C99"/>
    <w:rsid w:val="00E1238F"/>
    <w:rsid w:val="00E169CA"/>
    <w:rsid w:val="00E21C61"/>
    <w:rsid w:val="00E21EBE"/>
    <w:rsid w:val="00E25948"/>
    <w:rsid w:val="00E368CA"/>
    <w:rsid w:val="00E439DD"/>
    <w:rsid w:val="00E47A2A"/>
    <w:rsid w:val="00E55B80"/>
    <w:rsid w:val="00E90087"/>
    <w:rsid w:val="00EB210E"/>
    <w:rsid w:val="00EE38B0"/>
    <w:rsid w:val="00EE52C7"/>
    <w:rsid w:val="00EF06EA"/>
    <w:rsid w:val="00F863C3"/>
    <w:rsid w:val="00FB0337"/>
    <w:rsid w:val="00FB2464"/>
    <w:rsid w:val="00FB3495"/>
    <w:rsid w:val="00FB5AEE"/>
    <w:rsid w:val="00FB7BC4"/>
    <w:rsid w:val="00FF08C3"/>
    <w:rsid w:val="00FF7276"/>
    <w:rsid w:val="403A03D6"/>
    <w:rsid w:val="692E27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6"/>
    <w:semiHidden/>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uiPriority w:val="99"/>
    <w:rPr>
      <w:b/>
      <w:bCs/>
    </w:rPr>
  </w:style>
  <w:style w:type="table" w:styleId="8">
    <w:name w:val="Table Grid"/>
    <w:basedOn w:val="7"/>
    <w:uiPriority w:val="3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annotation reference"/>
    <w:basedOn w:val="9"/>
    <w:semiHidden/>
    <w:unhideWhenUsed/>
    <w:uiPriority w:val="99"/>
    <w:rPr>
      <w:sz w:val="21"/>
      <w:szCs w:val="21"/>
    </w:rPr>
  </w:style>
  <w:style w:type="character" w:customStyle="1" w:styleId="11">
    <w:name w:val="页眉 Char"/>
    <w:basedOn w:val="9"/>
    <w:link w:val="5"/>
    <w:semiHidden/>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34"/>
    <w:pPr>
      <w:ind w:firstLine="420" w:firstLineChars="200"/>
    </w:pPr>
  </w:style>
  <w:style w:type="character" w:customStyle="1" w:styleId="14">
    <w:name w:val="批注文字 Char"/>
    <w:basedOn w:val="9"/>
    <w:link w:val="2"/>
    <w:semiHidden/>
    <w:qFormat/>
    <w:uiPriority w:val="99"/>
  </w:style>
  <w:style w:type="character" w:customStyle="1" w:styleId="15">
    <w:name w:val="批注主题 Char"/>
    <w:basedOn w:val="14"/>
    <w:link w:val="6"/>
    <w:semiHidden/>
    <w:qFormat/>
    <w:uiPriority w:val="99"/>
    <w:rPr>
      <w:b/>
      <w:bCs/>
    </w:rPr>
  </w:style>
  <w:style w:type="character" w:customStyle="1" w:styleId="16">
    <w:name w:val="批注框文本 Char"/>
    <w:basedOn w:val="9"/>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D4196-59A5-4577-8FF3-4B348D8BCEDF}">
  <ds:schemaRefs/>
</ds:datastoreItem>
</file>

<file path=docProps/app.xml><?xml version="1.0" encoding="utf-8"?>
<Properties xmlns="http://schemas.openxmlformats.org/officeDocument/2006/extended-properties" xmlns:vt="http://schemas.openxmlformats.org/officeDocument/2006/docPropsVTypes">
  <Template>Normal</Template>
  <Pages>18</Pages>
  <Words>11806</Words>
  <Characters>12227</Characters>
  <Lines>89</Lines>
  <Paragraphs>25</Paragraphs>
  <TotalTime>136</TotalTime>
  <ScaleCrop>false</ScaleCrop>
  <LinksUpToDate>false</LinksUpToDate>
  <CharactersWithSpaces>12235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2019-09-27T05:48:00Z</dcterms:created>
  <dc:creator>李慧清</dc:creator>
  <cp:lastModifiedBy>Leon</cp:lastModifiedBy>
  <dcterms:modified xsi:type="dcterms:W3CDTF">2022-11-02T09:22:40Z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D1AB11DC99EC4E94B4CC2337C589B38E</vt:lpwstr>
  </property>
</Properties>
</file>