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8"/>
          <w:szCs w:val="36"/>
          <w:vertAlign w:val="baseline"/>
          <w:lang w:val="en-US" w:eastAsia="zh-CN"/>
        </w:rPr>
      </w:pPr>
      <w:r>
        <w:rPr>
          <w:rFonts w:hint="eastAsia" w:ascii="宋体" w:hAnsi="宋体" w:eastAsia="宋体" w:cs="宋体"/>
          <w:b/>
          <w:bCs/>
          <w:sz w:val="28"/>
          <w:szCs w:val="36"/>
          <w:vertAlign w:val="baseline"/>
          <w:lang w:val="en-US" w:eastAsia="zh-CN"/>
        </w:rPr>
        <w:t>附件2：2020年度省高等教育教学改革项目立项一览表</w:t>
      </w:r>
    </w:p>
    <w:p>
      <w:pPr>
        <w:jc w:val="both"/>
        <w:rPr>
          <w:rFonts w:hint="eastAsia" w:ascii="宋体" w:hAnsi="宋体" w:eastAsia="宋体" w:cs="宋体"/>
          <w:b/>
          <w:bCs/>
          <w:sz w:val="28"/>
          <w:szCs w:val="36"/>
          <w:vertAlign w:val="baseline"/>
          <w:lang w:val="en-US" w:eastAsia="zh-CN"/>
        </w:rPr>
      </w:pPr>
    </w:p>
    <w:tbl>
      <w:tblPr>
        <w:tblStyle w:val="3"/>
        <w:tblpPr w:leftFromText="180" w:rightFromText="180" w:vertAnchor="page" w:horzAnchor="page" w:tblpX="1819" w:tblpY="242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1470"/>
        <w:gridCol w:w="3480"/>
        <w:gridCol w:w="1193"/>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eastAsiaTheme="minorEastAsia"/>
                <w:b/>
                <w:bCs/>
                <w:sz w:val="24"/>
                <w:szCs w:val="32"/>
                <w:vertAlign w:val="baseline"/>
                <w:lang w:val="en-US" w:eastAsia="zh-CN"/>
              </w:rPr>
            </w:pPr>
            <w:r>
              <w:rPr>
                <w:rFonts w:hint="eastAsia"/>
                <w:b/>
                <w:bCs/>
                <w:sz w:val="24"/>
                <w:szCs w:val="32"/>
                <w:vertAlign w:val="baseline"/>
                <w:lang w:val="en-US" w:eastAsia="zh-CN"/>
              </w:rPr>
              <w:t>序号</w:t>
            </w:r>
          </w:p>
        </w:tc>
        <w:tc>
          <w:tcPr>
            <w:tcW w:w="1470" w:type="dxa"/>
            <w:vAlign w:val="center"/>
          </w:tcPr>
          <w:p>
            <w:pPr>
              <w:jc w:val="center"/>
              <w:rPr>
                <w:rFonts w:hint="default" w:eastAsiaTheme="minorEastAsia"/>
                <w:b/>
                <w:bCs/>
                <w:sz w:val="24"/>
                <w:szCs w:val="32"/>
                <w:vertAlign w:val="baseline"/>
                <w:lang w:val="en-US" w:eastAsia="zh-CN"/>
              </w:rPr>
            </w:pPr>
            <w:r>
              <w:rPr>
                <w:rFonts w:hint="eastAsia"/>
                <w:b/>
                <w:bCs/>
                <w:sz w:val="24"/>
                <w:szCs w:val="32"/>
                <w:vertAlign w:val="baseline"/>
                <w:lang w:val="en-US" w:eastAsia="zh-CN"/>
              </w:rPr>
              <w:t>项目类型</w:t>
            </w:r>
          </w:p>
        </w:tc>
        <w:tc>
          <w:tcPr>
            <w:tcW w:w="3480" w:type="dxa"/>
            <w:vAlign w:val="center"/>
          </w:tcPr>
          <w:p>
            <w:pPr>
              <w:jc w:val="center"/>
              <w:rPr>
                <w:rFonts w:hint="default" w:eastAsiaTheme="minorEastAsia"/>
                <w:b/>
                <w:bCs/>
                <w:sz w:val="24"/>
                <w:szCs w:val="32"/>
                <w:vertAlign w:val="baseline"/>
                <w:lang w:val="en-US" w:eastAsia="zh-CN"/>
              </w:rPr>
            </w:pPr>
            <w:r>
              <w:rPr>
                <w:rFonts w:hint="eastAsia"/>
                <w:b/>
                <w:bCs/>
                <w:sz w:val="24"/>
                <w:szCs w:val="32"/>
                <w:vertAlign w:val="baseline"/>
                <w:lang w:val="en-US" w:eastAsia="zh-CN"/>
              </w:rPr>
              <w:t>项目名称</w:t>
            </w:r>
          </w:p>
        </w:tc>
        <w:tc>
          <w:tcPr>
            <w:tcW w:w="1193" w:type="dxa"/>
            <w:vAlign w:val="center"/>
          </w:tcPr>
          <w:p>
            <w:pPr>
              <w:jc w:val="center"/>
              <w:rPr>
                <w:rFonts w:hint="eastAsia" w:eastAsiaTheme="minorEastAsia"/>
                <w:b/>
                <w:bCs/>
                <w:sz w:val="24"/>
                <w:szCs w:val="32"/>
                <w:vertAlign w:val="baseline"/>
                <w:lang w:val="en-US" w:eastAsia="zh-CN"/>
              </w:rPr>
            </w:pPr>
            <w:r>
              <w:rPr>
                <w:rFonts w:hint="eastAsia"/>
                <w:b/>
                <w:bCs/>
                <w:sz w:val="24"/>
                <w:szCs w:val="32"/>
                <w:vertAlign w:val="baseline"/>
                <w:lang w:val="en-US" w:eastAsia="zh-CN"/>
              </w:rPr>
              <w:t>负责人</w:t>
            </w:r>
          </w:p>
        </w:tc>
        <w:tc>
          <w:tcPr>
            <w:tcW w:w="1564" w:type="dxa"/>
            <w:vAlign w:val="center"/>
          </w:tcPr>
          <w:p>
            <w:pPr>
              <w:jc w:val="center"/>
              <w:rPr>
                <w:rFonts w:hint="default" w:eastAsiaTheme="minorEastAsia"/>
                <w:b/>
                <w:bCs/>
                <w:sz w:val="24"/>
                <w:szCs w:val="32"/>
                <w:vertAlign w:val="baseline"/>
                <w:lang w:val="en-US" w:eastAsia="zh-CN"/>
              </w:rPr>
            </w:pPr>
            <w:r>
              <w:rPr>
                <w:rFonts w:hint="eastAsia"/>
                <w:b/>
                <w:bCs/>
                <w:sz w:val="24"/>
                <w:szCs w:val="32"/>
                <w:vertAlign w:val="baseline"/>
                <w:lang w:val="en-US" w:eastAsia="zh-CN"/>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综合类</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财经院校翻译专业人才培养模式改革和实践</w:t>
            </w:r>
          </w:p>
        </w:tc>
        <w:tc>
          <w:tcPr>
            <w:tcW w:w="1193" w:type="dxa"/>
            <w:vAlign w:val="center"/>
          </w:tcPr>
          <w:p>
            <w:pPr>
              <w:keepNext w:val="0"/>
              <w:keepLines w:val="0"/>
              <w:widowControl/>
              <w:suppressLineNumbers w:val="0"/>
              <w:jc w:val="center"/>
              <w:textAlignment w:val="center"/>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陈洁</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外国语学院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综合类</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高校思政课程高质量发展模式构建与运用研究</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杜奋根</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马克思主义学院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综合类</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促进科产教深度融合的高等教育改革探索</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李亚青</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金融学院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综合类</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深化粤港澳高校跨境法治人才培养合作的理论与实践研究</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孟国碧</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法学院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一般类</w:t>
            </w:r>
          </w:p>
        </w:tc>
        <w:tc>
          <w:tcPr>
            <w:tcW w:w="3480" w:type="dxa"/>
            <w:vAlign w:val="top"/>
          </w:tcPr>
          <w:p>
            <w:pPr>
              <w:keepNext w:val="0"/>
              <w:keepLines w:val="0"/>
              <w:widowControl/>
              <w:suppressLineNumbers w:val="0"/>
              <w:jc w:val="center"/>
              <w:textAlignment w:val="top"/>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混合教学中"统计学"线上线下一体化设计研究</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刘佳</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统计与数学学院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一般类</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新文科背景下工商管理类“金课”建设研究——以《零售学》为例</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肖怡</w:t>
            </w:r>
          </w:p>
        </w:tc>
        <w:tc>
          <w:tcPr>
            <w:tcW w:w="1564" w:type="dxa"/>
            <w:vAlign w:val="center"/>
          </w:tcPr>
          <w:p>
            <w:pPr>
              <w:keepNext w:val="0"/>
              <w:keepLines w:val="0"/>
              <w:widowControl/>
              <w:suppressLineNumbers w:val="0"/>
              <w:jc w:val="center"/>
              <w:textAlignment w:val="center"/>
              <w:rPr>
                <w:rFonts w:hint="default" w:ascii="仿宋" w:hAnsi="仿宋" w:eastAsia="仿宋" w:cs="仿宋"/>
                <w:sz w:val="24"/>
                <w:szCs w:val="24"/>
                <w:vertAlign w:val="baseline"/>
                <w:lang w:val="en-US"/>
              </w:rPr>
            </w:pPr>
            <w:r>
              <w:rPr>
                <w:rFonts w:hint="eastAsia" w:ascii="仿宋" w:hAnsi="仿宋" w:eastAsia="仿宋" w:cs="仿宋"/>
                <w:i w:val="0"/>
                <w:iCs w:val="0"/>
                <w:color w:val="000000"/>
                <w:kern w:val="0"/>
                <w:sz w:val="24"/>
                <w:szCs w:val="24"/>
                <w:highlight w:val="none"/>
                <w:u w:val="none"/>
                <w:lang w:val="en-US" w:eastAsia="zh-CN" w:bidi="ar"/>
              </w:rPr>
              <w:t>工商管理学院/粤商学院/创新创业学院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一般类</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新闻传播类专业课程虚拟仿真实践教学研究——以《新闻摄影》实践必修课程为例</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吴雁</w:t>
            </w:r>
          </w:p>
        </w:tc>
        <w:tc>
          <w:tcPr>
            <w:tcW w:w="1564" w:type="dxa"/>
            <w:vAlign w:val="center"/>
          </w:tcPr>
          <w:p>
            <w:pPr>
              <w:keepNext w:val="0"/>
              <w:keepLines w:val="0"/>
              <w:widowControl/>
              <w:suppressLineNumbers w:val="0"/>
              <w:jc w:val="center"/>
              <w:textAlignment w:val="center"/>
              <w:rPr>
                <w:rFonts w:hint="default" w:ascii="仿宋" w:hAnsi="仿宋" w:eastAsia="仿宋" w:cs="仿宋"/>
                <w:sz w:val="24"/>
                <w:szCs w:val="24"/>
                <w:vertAlign w:val="baseline"/>
                <w:lang w:val="en-US"/>
              </w:rPr>
            </w:pPr>
            <w:r>
              <w:rPr>
                <w:rFonts w:hint="eastAsia" w:ascii="仿宋" w:hAnsi="仿宋" w:eastAsia="仿宋" w:cs="仿宋"/>
                <w:i w:val="0"/>
                <w:iCs w:val="0"/>
                <w:color w:val="000000"/>
                <w:kern w:val="0"/>
                <w:sz w:val="24"/>
                <w:szCs w:val="24"/>
                <w:u w:val="none"/>
                <w:lang w:val="en-US" w:eastAsia="zh-CN" w:bidi="ar"/>
              </w:rPr>
              <w:t>人文与传播学院、网络传播学院（合署）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一般类</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基于数据挖掘的电子商务专业“网络营销学”课程项目式教学改革与实践</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沈培</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lang w:val="en-US"/>
              </w:rPr>
            </w:pPr>
            <w:r>
              <w:rPr>
                <w:rFonts w:hint="eastAsia" w:ascii="仿宋" w:hAnsi="仿宋" w:eastAsia="仿宋" w:cs="仿宋"/>
                <w:i w:val="0"/>
                <w:iCs w:val="0"/>
                <w:color w:val="000000"/>
                <w:kern w:val="0"/>
                <w:sz w:val="24"/>
                <w:szCs w:val="24"/>
                <w:u w:val="none"/>
                <w:lang w:val="en-US" w:eastAsia="zh-CN" w:bidi="ar"/>
              </w:rPr>
              <w:t>信息学院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一般类</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后疫情时代“程序设计基础”课程实验教学改革研究与实践</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温雅敏</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统计与数学学院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10</w:t>
            </w:r>
          </w:p>
        </w:tc>
        <w:tc>
          <w:tcPr>
            <w:tcW w:w="147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一般类</w:t>
            </w:r>
          </w:p>
        </w:tc>
        <w:tc>
          <w:tcPr>
            <w:tcW w:w="3480"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基于spoc翻转课堂的《数学分析》课程混合式教学研究与实践</w:t>
            </w:r>
          </w:p>
        </w:tc>
        <w:tc>
          <w:tcPr>
            <w:tcW w:w="1193"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李真</w:t>
            </w:r>
          </w:p>
        </w:tc>
        <w:tc>
          <w:tcPr>
            <w:tcW w:w="1564" w:type="dxa"/>
            <w:vAlign w:val="center"/>
          </w:tcPr>
          <w:p>
            <w:pPr>
              <w:keepNext w:val="0"/>
              <w:keepLines w:val="0"/>
              <w:widowControl/>
              <w:suppressLineNumbers w:val="0"/>
              <w:jc w:val="center"/>
              <w:textAlignment w:val="center"/>
              <w:rPr>
                <w:rFonts w:hint="eastAsia" w:ascii="仿宋" w:hAnsi="仿宋" w:eastAsia="仿宋" w:cs="仿宋"/>
                <w:sz w:val="24"/>
                <w:szCs w:val="24"/>
                <w:vertAlign w:val="baseline"/>
              </w:rPr>
            </w:pPr>
            <w:r>
              <w:rPr>
                <w:rFonts w:hint="eastAsia" w:ascii="仿宋" w:hAnsi="仿宋" w:eastAsia="仿宋" w:cs="仿宋"/>
                <w:i w:val="0"/>
                <w:iCs w:val="0"/>
                <w:color w:val="000000"/>
                <w:kern w:val="0"/>
                <w:sz w:val="24"/>
                <w:szCs w:val="24"/>
                <w:u w:val="none"/>
                <w:lang w:val="en-US" w:eastAsia="zh-CN" w:bidi="ar"/>
              </w:rPr>
              <w:t>统计与数学学院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11</w:t>
            </w:r>
          </w:p>
        </w:tc>
        <w:tc>
          <w:tcPr>
            <w:tcW w:w="14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一般类</w:t>
            </w:r>
          </w:p>
        </w:tc>
        <w:tc>
          <w:tcPr>
            <w:tcW w:w="348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面向应用型人才培养的建筑工程概论虚拟仿真实验教学模式的构建研究</w:t>
            </w:r>
          </w:p>
        </w:tc>
        <w:tc>
          <w:tcPr>
            <w:tcW w:w="119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房明</w:t>
            </w:r>
          </w:p>
        </w:tc>
        <w:tc>
          <w:tcPr>
            <w:tcW w:w="1564"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公共管理学院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12</w:t>
            </w:r>
          </w:p>
        </w:tc>
        <w:tc>
          <w:tcPr>
            <w:tcW w:w="14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一般类</w:t>
            </w:r>
          </w:p>
        </w:tc>
        <w:tc>
          <w:tcPr>
            <w:tcW w:w="348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课程思政建设质量评价体系研究 ——以新闻传播学科理论必修课为例</w:t>
            </w:r>
          </w:p>
        </w:tc>
        <w:tc>
          <w:tcPr>
            <w:tcW w:w="119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李镓</w:t>
            </w:r>
          </w:p>
        </w:tc>
        <w:tc>
          <w:tcPr>
            <w:tcW w:w="1564"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人文与传播学院、网络传播学院（合</w:t>
            </w:r>
            <w:bookmarkStart w:id="0" w:name="_GoBack"/>
            <w:bookmarkEnd w:id="0"/>
            <w:r>
              <w:rPr>
                <w:rFonts w:hint="eastAsia" w:ascii="仿宋" w:hAnsi="仿宋" w:eastAsia="仿宋" w:cs="仿宋"/>
                <w:i w:val="0"/>
                <w:iCs w:val="0"/>
                <w:color w:val="000000"/>
                <w:kern w:val="0"/>
                <w:sz w:val="24"/>
                <w:szCs w:val="24"/>
                <w:u w:val="none"/>
                <w:lang w:val="en-US" w:eastAsia="zh-CN" w:bidi="ar"/>
              </w:rPr>
              <w:t>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13</w:t>
            </w:r>
          </w:p>
        </w:tc>
        <w:tc>
          <w:tcPr>
            <w:tcW w:w="14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一般类</w:t>
            </w:r>
          </w:p>
        </w:tc>
        <w:tc>
          <w:tcPr>
            <w:tcW w:w="348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“课程思政”融入设计学科理论类课程的教学探索与示范</w:t>
            </w:r>
          </w:p>
        </w:tc>
        <w:tc>
          <w:tcPr>
            <w:tcW w:w="119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杜肇铭</w:t>
            </w:r>
          </w:p>
        </w:tc>
        <w:tc>
          <w:tcPr>
            <w:tcW w:w="1564"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艺术与设计学院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14</w:t>
            </w:r>
          </w:p>
        </w:tc>
        <w:tc>
          <w:tcPr>
            <w:tcW w:w="14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一般类</w:t>
            </w:r>
          </w:p>
        </w:tc>
        <w:tc>
          <w:tcPr>
            <w:tcW w:w="348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通识课“课程思政”探索与实践---以《景观鉴赏》为例</w:t>
            </w:r>
          </w:p>
        </w:tc>
        <w:tc>
          <w:tcPr>
            <w:tcW w:w="119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李萍</w:t>
            </w:r>
          </w:p>
        </w:tc>
        <w:tc>
          <w:tcPr>
            <w:tcW w:w="1564"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文化旅游与地理学院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15"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15</w:t>
            </w:r>
          </w:p>
        </w:tc>
        <w:tc>
          <w:tcPr>
            <w:tcW w:w="147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一般类</w:t>
            </w:r>
          </w:p>
        </w:tc>
        <w:tc>
          <w:tcPr>
            <w:tcW w:w="3480"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财经类高校深化产教融合校企合作的路径研究</w:t>
            </w:r>
          </w:p>
        </w:tc>
        <w:tc>
          <w:tcPr>
            <w:tcW w:w="1193"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陈建林</w:t>
            </w:r>
          </w:p>
        </w:tc>
        <w:tc>
          <w:tcPr>
            <w:tcW w:w="1564" w:type="dxa"/>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智能财会管理学院</w:t>
            </w:r>
          </w:p>
        </w:tc>
      </w:tr>
    </w:tbl>
    <w:p>
      <w:pPr>
        <w:jc w:val="center"/>
        <w:rPr>
          <w:rFonts w:hint="eastAsia" w:ascii="宋体" w:hAnsi="宋体" w:eastAsia="宋体" w:cs="宋体"/>
          <w:b/>
          <w:bCs/>
          <w:sz w:val="28"/>
          <w:szCs w:val="36"/>
          <w:vertAlign w:val="baseli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OTRjN2U0YjVkZmNkMDBhNGFmODViMTJjY2NkNmMifQ=="/>
  </w:docVars>
  <w:rsids>
    <w:rsidRoot w:val="00000000"/>
    <w:rsid w:val="179B3FE7"/>
    <w:rsid w:val="1BA479D2"/>
    <w:rsid w:val="49CC7204"/>
    <w:rsid w:val="528A0FC9"/>
    <w:rsid w:val="52A34C71"/>
    <w:rsid w:val="52C8312A"/>
    <w:rsid w:val="63FB4E0A"/>
    <w:rsid w:val="709D061E"/>
    <w:rsid w:val="72B13483"/>
    <w:rsid w:val="7AD54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636</Words>
  <Characters>650</Characters>
  <Lines>0</Lines>
  <Paragraphs>0</Paragraphs>
  <TotalTime>8</TotalTime>
  <ScaleCrop>false</ScaleCrop>
  <LinksUpToDate>false</LinksUpToDate>
  <CharactersWithSpaces>651</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2023-01-04T07:00:00Z</dcterms:created>
  <dc:creator>Administrator</dc:creator>
  <cp:lastModifiedBy>王雪梅</cp:lastModifiedBy>
  <dcterms:modified xsi:type="dcterms:W3CDTF">2023-09-28T03:07:46Z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EB1421DCDE5D4F399FB48B108E73729A</vt:lpwstr>
  </property>
</Properties>
</file>