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453A06">
      <w:pPr>
        <w:rPr>
          <w:rFonts w:hint="eastAsia" w:ascii="方正小标宋简体" w:hAnsi="方正小标宋简体" w:eastAsia="方正小标宋简体" w:cs="方正小标宋简体"/>
        </w:rPr>
      </w:pPr>
      <w:r>
        <w:rPr>
          <w:rFonts w:hint="eastAsia" w:ascii="方正小标宋简体" w:hAnsi="方正小标宋简体" w:eastAsia="方正小标宋简体" w:cs="方正小标宋简体"/>
        </w:rPr>
        <w:t>XX学院2027年春季学期专业二次选择工作方案</w:t>
      </w:r>
    </w:p>
    <w:p w14:paraId="350FF38F">
      <w:pPr>
        <w:rPr>
          <w:rFonts w:hint="eastAsia"/>
        </w:rPr>
      </w:pPr>
      <w:r>
        <w:rPr>
          <w:rFonts w:hint="eastAsia"/>
        </w:rPr>
        <w:t>为落实《广东财经大学普教本科生专业二次选择管理办法》（粤财大〔2026〕47号）要求，规范我院专业二次选择组织实施，结合学院办学实际，制定本方案。</w:t>
      </w:r>
    </w:p>
    <w:p w14:paraId="339F4387">
      <w:pPr>
        <w:rPr>
          <w:rFonts w:hint="eastAsia"/>
          <w:b/>
          <w:bCs/>
        </w:rPr>
      </w:pPr>
      <w:r>
        <w:rPr>
          <w:rFonts w:hint="eastAsia"/>
          <w:b/>
          <w:bCs/>
        </w:rPr>
        <w:t>一、接收计划</w:t>
      </w:r>
    </w:p>
    <w:p w14:paraId="135DE2C3">
      <w:pPr>
        <w:rPr>
          <w:rFonts w:hint="eastAsia"/>
        </w:rPr>
      </w:pPr>
      <w:r>
        <w:rPr>
          <w:rFonts w:hint="eastAsia"/>
        </w:rPr>
        <w:t>本年度我院以下专业开放转入接收，具体安排如下：</w:t>
      </w:r>
    </w:p>
    <w:tbl>
      <w:tblPr>
        <w:tblStyle w:val="3"/>
        <w:tblW w:w="0" w:type="auto"/>
        <w:tblInd w:w="0" w:type="dxa"/>
        <w:tblBorders>
          <w:top w:val="single" w:color="DEE0E3" w:sz="0" w:space="0"/>
          <w:left w:val="single" w:color="DEE0E3" w:sz="0" w:space="0"/>
          <w:bottom w:val="single" w:color="DEE0E3" w:sz="0" w:space="0"/>
          <w:right w:val="single" w:color="DEE0E3" w:sz="0" w:space="0"/>
          <w:insideH w:val="single" w:color="DEE0E3" w:sz="0" w:space="0"/>
          <w:insideV w:val="single" w:color="DEE0E3" w:sz="0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938"/>
        <w:gridCol w:w="1029"/>
        <w:gridCol w:w="854"/>
        <w:gridCol w:w="854"/>
        <w:gridCol w:w="815"/>
        <w:gridCol w:w="1981"/>
        <w:gridCol w:w="2609"/>
      </w:tblGrid>
      <w:tr w14:paraId="79E93EC8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</w:tcBorders>
            <w:shd w:val="clear" w:color="auto" w:fill="FFFFFF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0E452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center"/>
              <w:textAlignment w:val="auto"/>
              <w:rPr>
                <w:rFonts w:hint="eastAsia" w:ascii="Arial" w:hAnsi="Arial" w:eastAsia="等线" w:cs="Arial"/>
                <w:b w:val="0"/>
                <w:color w:val="000000"/>
                <w:sz w:val="22"/>
                <w:lang w:val="en-US" w:eastAsia="zh-CN"/>
              </w:rPr>
            </w:pPr>
            <w:r>
              <w:rPr>
                <w:rFonts w:hint="eastAsia" w:ascii="Arial" w:hAnsi="Arial" w:eastAsia="等线" w:cs="Arial"/>
                <w:b w:val="0"/>
                <w:color w:val="000000"/>
                <w:sz w:val="22"/>
                <w:lang w:val="en-US" w:eastAsia="zh-CN"/>
              </w:rPr>
              <w:t>序号</w:t>
            </w:r>
          </w:p>
        </w:tc>
        <w:tc>
          <w:tcPr>
            <w:tcW w:w="1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</w:tcBorders>
            <w:shd w:val="clear" w:color="auto" w:fill="FFFFFF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763F9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center"/>
              <w:textAlignment w:val="auto"/>
              <w:rPr>
                <w:b w:val="0"/>
                <w:color w:val="000000"/>
              </w:rPr>
            </w:pPr>
            <w:r>
              <w:rPr>
                <w:rFonts w:ascii="Arial" w:hAnsi="Arial" w:eastAsia="等线" w:cs="Arial"/>
                <w:b w:val="0"/>
                <w:color w:val="000000"/>
                <w:sz w:val="22"/>
              </w:rPr>
              <w:t>专业名称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801F2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center"/>
              <w:textAlignment w:val="auto"/>
              <w:rPr>
                <w:rFonts w:hint="eastAsia" w:ascii="Arial" w:hAnsi="Arial" w:eastAsia="等线" w:cs="Arial"/>
                <w:b w:val="0"/>
                <w:color w:val="000000"/>
                <w:sz w:val="22"/>
                <w:lang w:val="en-US" w:eastAsia="zh-CN"/>
              </w:rPr>
            </w:pPr>
            <w:r>
              <w:rPr>
                <w:rFonts w:hint="eastAsia" w:ascii="Arial" w:hAnsi="Arial" w:eastAsia="等线" w:cs="Arial"/>
                <w:b w:val="0"/>
                <w:color w:val="000000"/>
                <w:sz w:val="22"/>
                <w:lang w:val="en-US" w:eastAsia="zh-CN"/>
              </w:rPr>
              <w:t>年级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B2D23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center"/>
              <w:textAlignment w:val="auto"/>
              <w:rPr>
                <w:rFonts w:hint="default" w:ascii="Arial" w:hAnsi="Arial" w:eastAsia="等线" w:cs="Arial"/>
                <w:b w:val="0"/>
                <w:color w:val="000000"/>
                <w:sz w:val="22"/>
                <w:lang w:val="en-US" w:eastAsia="zh-CN"/>
              </w:rPr>
            </w:pPr>
            <w:r>
              <w:rPr>
                <w:rFonts w:hint="eastAsia" w:ascii="Arial" w:hAnsi="Arial" w:eastAsia="等线" w:cs="Arial"/>
                <w:b w:val="0"/>
                <w:color w:val="000000"/>
                <w:sz w:val="22"/>
                <w:lang w:val="en-US" w:eastAsia="zh-CN"/>
              </w:rPr>
              <w:t>拟报名对象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089F2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center"/>
              <w:textAlignment w:val="auto"/>
              <w:rPr>
                <w:b w:val="0"/>
                <w:color w:val="000000"/>
              </w:rPr>
            </w:pPr>
            <w:r>
              <w:rPr>
                <w:rFonts w:ascii="Arial" w:hAnsi="Arial" w:eastAsia="等线" w:cs="Arial"/>
                <w:b w:val="0"/>
                <w:color w:val="000000"/>
                <w:sz w:val="22"/>
              </w:rPr>
              <w:t>拟接收名额</w:t>
            </w:r>
          </w:p>
        </w:tc>
        <w:tc>
          <w:tcPr>
            <w:tcW w:w="1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83778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center"/>
              <w:textAlignment w:val="auto"/>
              <w:rPr>
                <w:b w:val="0"/>
                <w:color w:val="000000"/>
              </w:rPr>
            </w:pPr>
            <w:r>
              <w:rPr>
                <w:rFonts w:ascii="Arial" w:hAnsi="Arial" w:eastAsia="等线" w:cs="Arial"/>
                <w:b w:val="0"/>
                <w:color w:val="000000"/>
                <w:sz w:val="22"/>
              </w:rPr>
              <w:t>报名条件</w:t>
            </w:r>
          </w:p>
        </w:tc>
        <w:tc>
          <w:tcPr>
            <w:tcW w:w="26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A9D1D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center"/>
              <w:textAlignment w:val="auto"/>
              <w:rPr>
                <w:b w:val="0"/>
                <w:color w:val="000000"/>
              </w:rPr>
            </w:pPr>
            <w:r>
              <w:rPr>
                <w:rFonts w:ascii="Arial" w:hAnsi="Arial" w:eastAsia="等线" w:cs="Arial"/>
                <w:b w:val="0"/>
                <w:color w:val="000000"/>
                <w:sz w:val="22"/>
              </w:rPr>
              <w:t>备注</w:t>
            </w:r>
          </w:p>
        </w:tc>
      </w:tr>
      <w:tr w14:paraId="2B013E52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4AF01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center"/>
              <w:textAlignment w:val="auto"/>
              <w:rPr>
                <w:b w:val="0"/>
                <w:color w:val="000000"/>
              </w:rPr>
            </w:pPr>
          </w:p>
        </w:tc>
        <w:tc>
          <w:tcPr>
            <w:tcW w:w="1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6C506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center"/>
              <w:textAlignment w:val="auto"/>
              <w:rPr>
                <w:b w:val="0"/>
                <w:color w:val="000000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303B0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center"/>
              <w:textAlignment w:val="auto"/>
              <w:rPr>
                <w:b w:val="0"/>
                <w:color w:val="000000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8BBA4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center"/>
              <w:textAlignment w:val="auto"/>
              <w:rPr>
                <w:b w:val="0"/>
                <w:color w:val="000000"/>
              </w:rPr>
            </w:pP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4ACEA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center"/>
              <w:textAlignment w:val="auto"/>
              <w:rPr>
                <w:b w:val="0"/>
                <w:color w:val="000000"/>
              </w:rPr>
            </w:pPr>
          </w:p>
        </w:tc>
        <w:tc>
          <w:tcPr>
            <w:tcW w:w="1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9ED3E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left"/>
              <w:textAlignment w:val="auto"/>
              <w:rPr>
                <w:rFonts w:hint="eastAsia" w:eastAsia="等线"/>
                <w:b w:val="0"/>
                <w:color w:val="000000"/>
                <w:lang w:eastAsia="zh-CN"/>
              </w:rPr>
            </w:pPr>
            <w:r>
              <w:rPr>
                <w:rFonts w:ascii="Arial" w:hAnsi="Arial" w:eastAsia="等线" w:cs="Arial"/>
                <w:b w:val="0"/>
                <w:color w:val="000000"/>
                <w:sz w:val="22"/>
              </w:rPr>
              <w:t>1.符合学校专业二次选择基本条件，思想政治表现良好；</w:t>
            </w:r>
            <w:r>
              <w:rPr>
                <w:rFonts w:ascii="Arial" w:hAnsi="Arial" w:eastAsia="等线" w:cs="Arial"/>
                <w:b w:val="0"/>
                <w:color w:val="000000"/>
                <w:sz w:val="22"/>
              </w:rPr>
              <w:br w:type="textWrapping"/>
            </w:r>
            <w:r>
              <w:rPr>
                <w:rFonts w:ascii="Arial" w:hAnsi="Arial" w:eastAsia="等线" w:cs="Arial"/>
                <w:b w:val="0"/>
                <w:color w:val="000000"/>
                <w:sz w:val="22"/>
              </w:rPr>
              <w:t>2.对申请专业有明确学习志向，具备相应基础认知</w:t>
            </w:r>
            <w:r>
              <w:rPr>
                <w:rFonts w:hint="eastAsia" w:ascii="Arial" w:hAnsi="Arial" w:eastAsia="等线" w:cs="Arial"/>
                <w:b w:val="0"/>
                <w:color w:val="000000"/>
                <w:sz w:val="22"/>
                <w:lang w:eastAsia="zh-CN"/>
              </w:rPr>
              <w:t>。</w:t>
            </w:r>
          </w:p>
        </w:tc>
        <w:tc>
          <w:tcPr>
            <w:tcW w:w="26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0C010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left"/>
              <w:textAlignment w:val="auto"/>
              <w:rPr>
                <w:b w:val="0"/>
                <w:color w:val="000000"/>
              </w:rPr>
            </w:pPr>
            <w:r>
              <w:rPr>
                <w:rFonts w:ascii="Arial" w:hAnsi="Arial" w:eastAsia="等线" w:cs="Arial"/>
                <w:b w:val="0"/>
                <w:color w:val="000000"/>
                <w:sz w:val="22"/>
              </w:rPr>
              <w:t>1.转入后须按接收年级培养方案补修前置课程；</w:t>
            </w:r>
            <w:r>
              <w:rPr>
                <w:rFonts w:ascii="Arial" w:hAnsi="Arial" w:eastAsia="等线" w:cs="Arial"/>
                <w:b w:val="0"/>
                <w:color w:val="000000"/>
                <w:sz w:val="22"/>
              </w:rPr>
              <w:br w:type="textWrapping"/>
            </w:r>
            <w:r>
              <w:rPr>
                <w:rFonts w:ascii="Arial" w:hAnsi="Arial" w:eastAsia="等线" w:cs="Arial"/>
                <w:b w:val="0"/>
                <w:color w:val="000000"/>
                <w:sz w:val="22"/>
              </w:rPr>
              <w:t>2.报名年级高于接收年级的，按接收年级降级转入；同年级申请经评估未修前置课程较多、无法跟上教学进度的，须降级转入</w:t>
            </w:r>
          </w:p>
        </w:tc>
      </w:tr>
    </w:tbl>
    <w:p w14:paraId="0596E995">
      <w:pPr>
        <w:rPr>
          <w:rFonts w:hint="eastAsia"/>
        </w:rPr>
      </w:pPr>
      <w:r>
        <w:rPr>
          <w:rFonts w:hint="eastAsia"/>
        </w:rPr>
        <w:t>说明：各专业接收名额以该专业对应年级实际在读人数为基数，严格控制在5%—30%区间内。</w:t>
      </w:r>
    </w:p>
    <w:p w14:paraId="4C340413">
      <w:pPr>
        <w:rPr>
          <w:rFonts w:hint="eastAsia"/>
        </w:rPr>
      </w:pPr>
      <w:r>
        <w:rPr>
          <w:rFonts w:hint="eastAsia"/>
        </w:rPr>
        <w:t>二、咨询与报名联系人</w:t>
      </w:r>
    </w:p>
    <w:tbl>
      <w:tblPr>
        <w:tblStyle w:val="3"/>
        <w:tblW w:w="0" w:type="auto"/>
        <w:tblInd w:w="0" w:type="dxa"/>
        <w:tblBorders>
          <w:top w:val="single" w:color="DEE0E3" w:sz="0" w:space="0"/>
          <w:left w:val="single" w:color="DEE0E3" w:sz="0" w:space="0"/>
          <w:bottom w:val="single" w:color="DEE0E3" w:sz="0" w:space="0"/>
          <w:right w:val="single" w:color="DEE0E3" w:sz="0" w:space="0"/>
          <w:insideH w:val="single" w:color="DEE0E3" w:sz="0" w:space="0"/>
          <w:insideV w:val="single" w:color="DEE0E3" w:sz="0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2070"/>
        <w:gridCol w:w="2070"/>
        <w:gridCol w:w="2070"/>
        <w:gridCol w:w="2070"/>
      </w:tblGrid>
      <w:tr w14:paraId="26B43098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</w:tcBorders>
            <w:shd w:val="clear" w:color="auto" w:fill="FFFFFF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CD2B9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center"/>
              <w:textAlignment w:val="auto"/>
              <w:rPr>
                <w:rFonts w:hint="eastAsia" w:ascii="Arial" w:hAnsi="Arial" w:eastAsia="等线" w:cs="Arial"/>
                <w:b w:val="0"/>
                <w:color w:val="000000"/>
                <w:sz w:val="22"/>
                <w:lang w:val="en-US" w:eastAsia="zh-CN"/>
              </w:rPr>
            </w:pPr>
            <w:r>
              <w:rPr>
                <w:rFonts w:hint="eastAsia" w:ascii="Arial" w:hAnsi="Arial" w:eastAsia="等线" w:cs="Arial"/>
                <w:b w:val="0"/>
                <w:color w:val="000000"/>
                <w:sz w:val="22"/>
                <w:lang w:val="en-US" w:eastAsia="zh-CN"/>
              </w:rPr>
              <w:t>联系人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88A7B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center"/>
              <w:textAlignment w:val="auto"/>
              <w:rPr>
                <w:rFonts w:hint="eastAsia" w:ascii="Arial" w:hAnsi="Arial" w:eastAsia="等线" w:cs="Arial"/>
                <w:b w:val="0"/>
                <w:color w:val="000000"/>
                <w:sz w:val="22"/>
                <w:lang w:val="en-US" w:eastAsia="zh-CN"/>
              </w:rPr>
            </w:pPr>
            <w:r>
              <w:rPr>
                <w:rFonts w:hint="eastAsia" w:ascii="Arial" w:hAnsi="Arial" w:eastAsia="等线" w:cs="Arial"/>
                <w:b w:val="0"/>
                <w:color w:val="000000"/>
                <w:sz w:val="22"/>
                <w:lang w:val="en-US" w:eastAsia="zh-CN"/>
              </w:rPr>
              <w:t>办公电话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3EA2C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center"/>
              <w:textAlignment w:val="auto"/>
              <w:rPr>
                <w:rFonts w:hint="eastAsia" w:ascii="Arial" w:hAnsi="Arial" w:eastAsia="等线" w:cs="Arial"/>
                <w:b w:val="0"/>
                <w:color w:val="000000"/>
                <w:sz w:val="22"/>
                <w:lang w:val="en-US" w:eastAsia="zh-CN"/>
              </w:rPr>
            </w:pPr>
            <w:r>
              <w:rPr>
                <w:rFonts w:hint="eastAsia" w:ascii="Arial" w:hAnsi="Arial" w:eastAsia="等线" w:cs="Arial"/>
                <w:b w:val="0"/>
                <w:color w:val="000000"/>
                <w:sz w:val="22"/>
                <w:lang w:val="en-US" w:eastAsia="zh-CN"/>
              </w:rPr>
              <w:t>办公地址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84882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center"/>
              <w:textAlignment w:val="auto"/>
              <w:rPr>
                <w:rFonts w:hint="eastAsia" w:ascii="Arial" w:hAnsi="Arial" w:eastAsia="等线" w:cs="Arial"/>
                <w:b w:val="0"/>
                <w:color w:val="000000"/>
                <w:sz w:val="22"/>
                <w:lang w:val="en-US" w:eastAsia="zh-CN"/>
              </w:rPr>
            </w:pPr>
            <w:r>
              <w:rPr>
                <w:rFonts w:hint="eastAsia" w:ascii="Arial" w:hAnsi="Arial" w:eastAsia="等线" w:cs="Arial"/>
                <w:b w:val="0"/>
                <w:color w:val="000000"/>
                <w:sz w:val="22"/>
                <w:lang w:val="en-US" w:eastAsia="zh-CN"/>
              </w:rPr>
              <w:t>电子邮箱</w:t>
            </w:r>
          </w:p>
        </w:tc>
      </w:tr>
      <w:tr w14:paraId="21996D25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DC0FF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center"/>
              <w:textAlignment w:val="auto"/>
              <w:rPr>
                <w:rFonts w:hint="eastAsia" w:ascii="Arial" w:hAnsi="Arial" w:eastAsia="等线" w:cs="Arial"/>
                <w:b w:val="0"/>
                <w:color w:val="000000"/>
                <w:sz w:val="22"/>
                <w:lang w:val="en-US" w:eastAsia="zh-CN"/>
              </w:rPr>
            </w:pPr>
            <w:r>
              <w:rPr>
                <w:rFonts w:hint="eastAsia" w:ascii="Arial" w:hAnsi="Arial" w:eastAsia="等线" w:cs="Arial"/>
                <w:b w:val="0"/>
                <w:color w:val="000000"/>
                <w:sz w:val="22"/>
                <w:lang w:val="en-US" w:eastAsia="zh-CN"/>
              </w:rPr>
              <w:t>XXX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105AB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center"/>
              <w:textAlignment w:val="auto"/>
              <w:rPr>
                <w:rFonts w:hint="eastAsia" w:ascii="Arial" w:hAnsi="Arial" w:eastAsia="等线" w:cs="Arial"/>
                <w:b w:val="0"/>
                <w:color w:val="000000"/>
                <w:sz w:val="22"/>
                <w:lang w:val="en-US" w:eastAsia="zh-CN"/>
              </w:rPr>
            </w:pPr>
            <w:r>
              <w:rPr>
                <w:rFonts w:hint="eastAsia" w:ascii="Arial" w:hAnsi="Arial" w:eastAsia="等线" w:cs="Arial"/>
                <w:b w:val="0"/>
                <w:color w:val="000000"/>
                <w:sz w:val="22"/>
                <w:lang w:val="en-US" w:eastAsia="zh-CN"/>
              </w:rPr>
              <w:t>XXX-XXXXXXX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B2AAC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center"/>
              <w:textAlignment w:val="auto"/>
              <w:rPr>
                <w:rFonts w:hint="eastAsia" w:ascii="Arial" w:hAnsi="Arial" w:eastAsia="等线" w:cs="Arial"/>
                <w:b w:val="0"/>
                <w:color w:val="000000"/>
                <w:sz w:val="22"/>
                <w:lang w:val="en-US" w:eastAsia="zh-CN"/>
              </w:rPr>
            </w:pPr>
            <w:r>
              <w:rPr>
                <w:rFonts w:hint="eastAsia" w:ascii="Arial" w:hAnsi="Arial" w:eastAsia="等线" w:cs="Arial"/>
                <w:b w:val="0"/>
                <w:color w:val="000000"/>
                <w:sz w:val="22"/>
                <w:lang w:val="en-US" w:eastAsia="zh-CN"/>
              </w:rPr>
              <w:t>XX学院教务办公室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6E43B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center"/>
              <w:textAlignment w:val="auto"/>
              <w:rPr>
                <w:rFonts w:hint="eastAsia" w:ascii="Arial" w:hAnsi="Arial" w:eastAsia="等线" w:cs="Arial"/>
                <w:b w:val="0"/>
                <w:color w:val="000000"/>
                <w:sz w:val="22"/>
                <w:lang w:val="en-US" w:eastAsia="zh-CN"/>
              </w:rPr>
            </w:pPr>
            <w:r>
              <w:rPr>
                <w:rFonts w:hint="eastAsia" w:ascii="Arial" w:hAnsi="Arial" w:eastAsia="等线" w:cs="Arial"/>
                <w:b w:val="0"/>
                <w:color w:val="000000"/>
                <w:sz w:val="22"/>
                <w:lang w:val="en-US" w:eastAsia="zh-CN"/>
              </w:rPr>
              <w:fldChar w:fldCharType="begin"/>
            </w:r>
            <w:r>
              <w:rPr>
                <w:rFonts w:hint="eastAsia" w:ascii="Arial" w:hAnsi="Arial" w:eastAsia="等线" w:cs="Arial"/>
                <w:b w:val="0"/>
                <w:color w:val="000000"/>
                <w:sz w:val="22"/>
                <w:lang w:val="en-US" w:eastAsia="zh-CN"/>
              </w:rPr>
              <w:instrText xml:space="preserve"> HYPERLINK "mailto:XXX@gdufe.edu.cn" \h </w:instrText>
            </w:r>
            <w:r>
              <w:rPr>
                <w:rFonts w:hint="eastAsia" w:ascii="Arial" w:hAnsi="Arial" w:eastAsia="等线" w:cs="Arial"/>
                <w:b w:val="0"/>
                <w:color w:val="000000"/>
                <w:sz w:val="22"/>
                <w:lang w:val="en-US" w:eastAsia="zh-CN"/>
              </w:rPr>
              <w:fldChar w:fldCharType="separate"/>
            </w:r>
            <w:r>
              <w:rPr>
                <w:rFonts w:hint="eastAsia" w:ascii="Arial" w:hAnsi="Arial" w:eastAsia="等线" w:cs="Arial"/>
                <w:b w:val="0"/>
                <w:color w:val="000000"/>
                <w:sz w:val="22"/>
                <w:lang w:val="en-US" w:eastAsia="zh-CN"/>
              </w:rPr>
              <w:t>XXX@gdufe.edu.cn</w:t>
            </w:r>
            <w:r>
              <w:rPr>
                <w:rFonts w:hint="eastAsia" w:ascii="Arial" w:hAnsi="Arial" w:eastAsia="等线" w:cs="Arial"/>
                <w:b w:val="0"/>
                <w:color w:val="000000"/>
                <w:sz w:val="22"/>
                <w:lang w:val="en-US" w:eastAsia="zh-CN"/>
              </w:rPr>
              <w:fldChar w:fldCharType="end"/>
            </w:r>
          </w:p>
        </w:tc>
      </w:tr>
    </w:tbl>
    <w:p w14:paraId="4123B4B6">
      <w:pPr>
        <w:rPr>
          <w:rFonts w:hint="eastAsia"/>
        </w:rPr>
      </w:pPr>
      <w:r>
        <w:rPr>
          <w:rFonts w:hint="eastAsia"/>
        </w:rPr>
        <w:t>三、考核方案</w:t>
      </w:r>
    </w:p>
    <w:p w14:paraId="0A9E8D3B">
      <w:pPr>
        <w:rPr>
          <w:rFonts w:hint="eastAsia"/>
        </w:rPr>
      </w:pPr>
      <w:r>
        <w:rPr>
          <w:rFonts w:hint="eastAsia"/>
        </w:rPr>
        <w:t>（一）资格审查材料</w:t>
      </w:r>
    </w:p>
    <w:p w14:paraId="433A9204">
      <w:pPr>
        <w:rPr>
          <w:rFonts w:hint="eastAsia"/>
        </w:rPr>
      </w:pPr>
      <w:r>
        <w:rPr>
          <w:rFonts w:hint="eastAsia"/>
        </w:rPr>
        <w:t>1.在校期间成绩单</w:t>
      </w:r>
    </w:p>
    <w:p w14:paraId="672D8AB3">
      <w:pPr>
        <w:rPr>
          <w:rFonts w:hint="eastAsia"/>
        </w:rPr>
      </w:pPr>
      <w:r>
        <w:rPr>
          <w:rFonts w:hint="eastAsia"/>
        </w:rPr>
        <w:t>2.原学院出具的无纪律处分证明</w:t>
      </w:r>
    </w:p>
    <w:p w14:paraId="3605EF5F">
      <w:pPr>
        <w:rPr>
          <w:rFonts w:hint="eastAsia"/>
        </w:rPr>
      </w:pPr>
      <w:r>
        <w:rPr>
          <w:rFonts w:hint="eastAsia"/>
        </w:rPr>
        <w:t>3.各专业要求的其他支撑材料</w:t>
      </w:r>
    </w:p>
    <w:p w14:paraId="657F9FD9">
      <w:pPr>
        <w:rPr>
          <w:rFonts w:hint="eastAsia"/>
        </w:rPr>
      </w:pPr>
      <w:r>
        <w:rPr>
          <w:rFonts w:hint="eastAsia"/>
        </w:rPr>
        <w:t>（二）考核方式及权重</w:t>
      </w:r>
    </w:p>
    <w:p w14:paraId="54C02425">
      <w:pPr>
        <w:rPr>
          <w:rFonts w:hint="eastAsia"/>
        </w:rPr>
      </w:pPr>
      <w:r>
        <w:rPr>
          <w:rFonts w:hint="eastAsia"/>
        </w:rPr>
        <w:t>考核总分100分，采用笔试+面试相结合的方式，对应四位一体评价体系：</w:t>
      </w:r>
    </w:p>
    <w:p w14:paraId="0C416703">
      <w:pPr>
        <w:rPr>
          <w:rFonts w:hint="eastAsia"/>
        </w:rPr>
      </w:pPr>
      <w:r>
        <w:rPr>
          <w:rFonts w:hint="eastAsia"/>
        </w:rPr>
        <w:t>-思想政治素质：占比XX%</w:t>
      </w:r>
    </w:p>
    <w:p w14:paraId="47E8BFA8">
      <w:pPr>
        <w:rPr>
          <w:rFonts w:hint="eastAsia"/>
        </w:rPr>
      </w:pPr>
      <w:r>
        <w:rPr>
          <w:rFonts w:hint="eastAsia"/>
        </w:rPr>
        <w:t>-专业知识基础：占比XX%</w:t>
      </w:r>
    </w:p>
    <w:p w14:paraId="1CB70B1D">
      <w:pPr>
        <w:rPr>
          <w:rFonts w:hint="eastAsia"/>
        </w:rPr>
      </w:pPr>
      <w:r>
        <w:rPr>
          <w:rFonts w:hint="eastAsia"/>
        </w:rPr>
        <w:t>-综合能力潜质：占比XX%</w:t>
      </w:r>
    </w:p>
    <w:p w14:paraId="669D0BC6">
      <w:pPr>
        <w:rPr>
          <w:rFonts w:hint="eastAsia"/>
        </w:rPr>
      </w:pPr>
      <w:r>
        <w:rPr>
          <w:rFonts w:hint="eastAsia"/>
        </w:rPr>
        <w:t>-专业志向与规划：占比XX%</w:t>
      </w:r>
    </w:p>
    <w:p w14:paraId="193378CB">
      <w:pPr>
        <w:rPr>
          <w:rFonts w:hint="eastAsia"/>
        </w:rPr>
      </w:pPr>
      <w:r>
        <w:rPr>
          <w:rFonts w:hint="eastAsia"/>
        </w:rPr>
        <w:t>笔试合格线为60分，笔试合格者方可进入面试环节。</w:t>
      </w:r>
    </w:p>
    <w:p w14:paraId="0262BA9E">
      <w:pPr>
        <w:rPr>
          <w:rFonts w:hint="eastAsia"/>
        </w:rPr>
      </w:pPr>
      <w:r>
        <w:rPr>
          <w:rFonts w:hint="eastAsia"/>
        </w:rPr>
        <w:t>（三）录取规则</w:t>
      </w:r>
    </w:p>
    <w:p w14:paraId="08B56CA6">
      <w:pPr>
        <w:rPr>
          <w:rFonts w:hint="eastAsia"/>
        </w:rPr>
      </w:pPr>
      <w:r>
        <w:rPr>
          <w:rFonts w:hint="eastAsia"/>
        </w:rPr>
        <w:t>1.考核总成绩合格线为60分，未达合格线者不予录取；</w:t>
      </w:r>
    </w:p>
    <w:p w14:paraId="7F5FE757">
      <w:pPr>
        <w:rPr>
          <w:rFonts w:hint="eastAsia"/>
        </w:rPr>
      </w:pPr>
      <w:r>
        <w:rPr>
          <w:rFonts w:hint="eastAsia"/>
        </w:rPr>
        <w:t>2.合格考生按总成绩从高到低排序，依接收名额依次录取，额满为止；</w:t>
      </w:r>
    </w:p>
    <w:p w14:paraId="6B67E6D8">
      <w:pPr>
        <w:rPr>
          <w:rFonts w:hint="eastAsia"/>
        </w:rPr>
      </w:pPr>
      <w:r>
        <w:rPr>
          <w:rFonts w:hint="eastAsia"/>
        </w:rPr>
        <w:t>3.总成绩同分排序规则：依次按专业知识基础成绩、综合能力潜质成绩从高到低确定录取资格；仍相同的，参考原专业学业绩点排序；</w:t>
      </w:r>
    </w:p>
    <w:p w14:paraId="6B2B10F6">
      <w:pPr>
        <w:rPr>
          <w:rFonts w:hint="eastAsia"/>
        </w:rPr>
      </w:pPr>
      <w:r>
        <w:rPr>
          <w:rFonts w:hint="eastAsia"/>
        </w:rPr>
        <w:t>4.拟录取名单经专项工作小组审议、学院党政联席会议审定后公示。</w:t>
      </w:r>
    </w:p>
    <w:p w14:paraId="261003A9">
      <w:pPr>
        <w:rPr>
          <w:rFonts w:hint="eastAsia"/>
        </w:rPr>
      </w:pPr>
      <w:r>
        <w:rPr>
          <w:rFonts w:hint="eastAsia"/>
        </w:rPr>
        <w:t>（四）考核内容</w:t>
      </w:r>
    </w:p>
    <w:p w14:paraId="2B170DD6">
      <w:pPr>
        <w:rPr>
          <w:rFonts w:hint="eastAsia"/>
        </w:rPr>
      </w:pPr>
      <w:r>
        <w:rPr>
          <w:rFonts w:hint="eastAsia"/>
        </w:rPr>
        <w:t>1.笔试：考查目标专业的基础概念、核心常识与先修知识掌握程度，具体范围与题型在本方案中明确。</w:t>
      </w:r>
    </w:p>
    <w:p w14:paraId="6A0A401C">
      <w:pPr>
        <w:rPr>
          <w:rFonts w:hint="eastAsia"/>
        </w:rPr>
      </w:pPr>
      <w:r>
        <w:rPr>
          <w:rFonts w:hint="eastAsia"/>
        </w:rPr>
        <w:t>2.面试：全面考察学生的专业认知、学习动机、逻辑思维、语言表达能力及综合素质，结合学生个人学业情况与学习规划综合评分。</w:t>
      </w:r>
    </w:p>
    <w:p w14:paraId="341BB4A9">
      <w:pPr>
        <w:rPr>
          <w:rFonts w:hint="eastAsia"/>
        </w:rPr>
      </w:pPr>
      <w:r>
        <w:rPr>
          <w:rFonts w:hint="eastAsia"/>
        </w:rPr>
        <w:t>（五）信息发布方式</w:t>
      </w:r>
    </w:p>
    <w:p w14:paraId="0DE49EFC">
      <w:pPr>
        <w:rPr>
          <w:rFonts w:hint="eastAsia"/>
        </w:rPr>
      </w:pPr>
      <w:r>
        <w:rPr>
          <w:rFonts w:hint="eastAsia"/>
        </w:rPr>
        <w:t>资格审查结果、考核时间地点、考核成绩、拟录取名单等信息，均通过XX学院官网发布，请申请学生及时关注。</w:t>
      </w:r>
    </w:p>
    <w:p w14:paraId="29826C17">
      <w:pPr>
        <w:rPr>
          <w:rFonts w:hint="eastAsia"/>
        </w:rPr>
      </w:pPr>
      <w:r>
        <w:rPr>
          <w:rFonts w:hint="eastAsia"/>
        </w:rPr>
        <w:t>四、学业衔接与特殊说明</w:t>
      </w:r>
    </w:p>
    <w:p w14:paraId="49039B7D">
      <w:pPr>
        <w:rPr>
          <w:rFonts w:hint="eastAsia"/>
        </w:rPr>
      </w:pPr>
      <w:r>
        <w:rPr>
          <w:rFonts w:hint="eastAsia"/>
        </w:rPr>
        <w:t>1.降级安排：报名年级高于接收年级的，按接收年级自然降级转入；同年级申请且未修前置课程较多、无法跟上同年级教学进度的，须降级转入对应年级就读。</w:t>
      </w:r>
    </w:p>
    <w:p w14:paraId="3A7EA4AB">
      <w:pPr>
        <w:rPr>
          <w:rFonts w:hint="eastAsia"/>
        </w:rPr>
      </w:pPr>
      <w:r>
        <w:rPr>
          <w:rFonts w:hint="eastAsia"/>
        </w:rPr>
        <w:t>2.学分认定：学生正式转入后，原专业已修且符合新专业培养方案的课程学分直接认定；缺修的专业必修课须按培养方案补修。</w:t>
      </w:r>
    </w:p>
    <w:p w14:paraId="34D078B5">
      <w:pPr>
        <w:rPr>
          <w:rFonts w:hint="eastAsia"/>
        </w:rPr>
      </w:pPr>
      <w:r>
        <w:rPr>
          <w:rFonts w:hint="eastAsia"/>
        </w:rPr>
        <w:t>3.试读管理：获批转入学生实行6周试读期。试读期内确不适应新专业的，可提交书面退回申请，经两学院审核同意、报教务部备案后返回原专业；学生退回原专业后，在校期间不得再次申请转入本专业。试读期满后不再允许退回。</w:t>
      </w:r>
    </w:p>
    <w:p w14:paraId="5F57C091">
      <w:pPr>
        <w:rPr>
          <w:rFonts w:hint="eastAsia"/>
        </w:rPr>
      </w:pPr>
      <w:r>
        <w:rPr>
          <w:rFonts w:hint="eastAsia"/>
        </w:rPr>
        <w:t>五、咨询与监督</w:t>
      </w:r>
    </w:p>
    <w:p w14:paraId="534E6A8F">
      <w:pPr>
        <w:rPr>
          <w:rFonts w:hint="eastAsia"/>
        </w:rPr>
      </w:pPr>
      <w:r>
        <w:rPr>
          <w:rFonts w:hint="eastAsia"/>
        </w:rPr>
        <w:t>-咨询联系人：XXX，联系电话：XXX-XXXXXXX，办公地址：XX学院教务办公室</w:t>
      </w:r>
    </w:p>
    <w:p w14:paraId="23192606">
      <w:pPr>
        <w:rPr>
          <w:rFonts w:hint="eastAsia"/>
        </w:rPr>
      </w:pPr>
      <w:r>
        <w:rPr>
          <w:rFonts w:hint="eastAsia"/>
        </w:rPr>
        <w:t>-异议申诉邮箱：XXX</w:t>
      </w:r>
    </w:p>
    <w:p w14:paraId="30733E71">
      <w:pPr>
        <w:rPr>
          <w:rFonts w:hint="eastAsia"/>
        </w:rPr>
      </w:pPr>
      <w:r>
        <w:rPr>
          <w:rFonts w:hint="eastAsia"/>
        </w:rPr>
        <w:t>-纪检监督电话：XXX-XXXXXXX</w:t>
      </w:r>
    </w:p>
    <w:p w14:paraId="1A1011D9">
      <w:pPr>
        <w:ind w:firstLine="5440" w:firstLineChars="1700"/>
        <w:rPr>
          <w:rFonts w:hint="eastAsia"/>
        </w:rPr>
      </w:pPr>
      <w:r>
        <w:rPr>
          <w:rFonts w:hint="eastAsia"/>
        </w:rPr>
        <w:t>XX学院</w:t>
      </w:r>
    </w:p>
    <w:p w14:paraId="1D524D49">
      <w:pPr>
        <w:ind w:firstLine="4800" w:firstLineChars="1500"/>
        <w:rPr>
          <w:rFonts w:hint="eastAsia"/>
        </w:rPr>
      </w:pPr>
      <w:r>
        <w:rPr>
          <w:rFonts w:hint="eastAsia"/>
        </w:rPr>
        <w:t>2026年X月X日</w:t>
      </w:r>
    </w:p>
    <w:p w14:paraId="67083E43">
      <w:pPr>
        <w:rPr>
          <w:rFonts w:hint="eastAsia"/>
        </w:rPr>
      </w:pPr>
    </w:p>
    <w:p w14:paraId="59A9020B">
      <w:pPr>
        <w:ind w:left="0" w:leftChars="0" w:firstLine="0" w:firstLineChars="0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方案编制参考指引</w:t>
      </w:r>
    </w:p>
    <w:p w14:paraId="17C31698">
      <w:pPr>
        <w:rPr>
          <w:rFonts w:hint="eastAsia"/>
          <w:b/>
          <w:bCs/>
        </w:rPr>
      </w:pPr>
      <w:r>
        <w:rPr>
          <w:rFonts w:hint="eastAsia"/>
          <w:b/>
          <w:bCs/>
          <w:lang w:val="en-US" w:eastAsia="zh-CN"/>
        </w:rPr>
        <w:t>一、</w:t>
      </w:r>
      <w:r>
        <w:rPr>
          <w:rFonts w:hint="eastAsia"/>
          <w:b/>
          <w:bCs/>
        </w:rPr>
        <w:t>必守红线（不得突破）</w:t>
      </w:r>
    </w:p>
    <w:p w14:paraId="603A84D6">
      <w:pPr>
        <w:rPr>
          <w:rFonts w:hint="eastAsia"/>
        </w:rPr>
      </w:pPr>
      <w:r>
        <w:rPr>
          <w:rFonts w:hint="eastAsia"/>
        </w:rPr>
        <w:t>1.名额比例：各专业接收人数占同年级在读人数的5%—30%</w:t>
      </w:r>
    </w:p>
    <w:p w14:paraId="093C550F">
      <w:pPr>
        <w:rPr>
          <w:rFonts w:hint="eastAsia"/>
        </w:rPr>
      </w:pPr>
      <w:r>
        <w:rPr>
          <w:rFonts w:hint="eastAsia"/>
        </w:rPr>
        <w:t>2.类别限制：艺体类、中外合作/中外联合培养专业仅限同类型互转，不得转入普通类</w:t>
      </w:r>
    </w:p>
    <w:p w14:paraId="58FFA930">
      <w:pPr>
        <w:rPr>
          <w:rFonts w:hint="eastAsia"/>
        </w:rPr>
      </w:pPr>
      <w:r>
        <w:rPr>
          <w:rFonts w:hint="eastAsia"/>
        </w:rPr>
        <w:t>3.考核合规：不得单纯以学业绩点作为唯一录取依据，不得将四六级、计算机等级证书设为硬性报名条件</w:t>
      </w:r>
    </w:p>
    <w:p w14:paraId="32B2DA29">
      <w:pPr>
        <w:rPr>
          <w:rFonts w:hint="eastAsia"/>
        </w:rPr>
      </w:pPr>
      <w:r>
        <w:rPr>
          <w:rFonts w:hint="eastAsia"/>
        </w:rPr>
        <w:t>4.公示要求：工作方案公示不少于7个工作日，拟录取名单公示不少于5个工作日</w:t>
      </w:r>
    </w:p>
    <w:p w14:paraId="35A7CEF4">
      <w:pPr>
        <w:rPr>
          <w:rFonts w:hint="eastAsia"/>
        </w:rPr>
      </w:pPr>
      <w:r>
        <w:rPr>
          <w:rFonts w:hint="eastAsia"/>
        </w:rPr>
        <w:t>5.程序要求：方案须经学院党政联席会议审议，专项工作小组严格执行回避制度</w:t>
      </w:r>
    </w:p>
    <w:p w14:paraId="1A8F44D2">
      <w:pPr>
        <w:rPr>
          <w:rFonts w:hint="eastAsia"/>
          <w:b/>
          <w:bCs/>
        </w:rPr>
      </w:pPr>
      <w:r>
        <w:rPr>
          <w:rFonts w:hint="eastAsia"/>
          <w:b/>
          <w:bCs/>
        </w:rPr>
        <w:t>二</w:t>
      </w:r>
      <w:r>
        <w:rPr>
          <w:rFonts w:hint="eastAsia"/>
          <w:b/>
          <w:bCs/>
          <w:lang w:eastAsia="zh-CN"/>
        </w:rPr>
        <w:t>、</w:t>
      </w:r>
      <w:r>
        <w:rPr>
          <w:rFonts w:hint="eastAsia"/>
          <w:b/>
          <w:bCs/>
        </w:rPr>
        <w:t>实操建议（参考选用）</w:t>
      </w:r>
    </w:p>
    <w:p w14:paraId="0FA1F015">
      <w:pPr>
        <w:rPr>
          <w:rFonts w:hint="eastAsia"/>
        </w:rPr>
      </w:pPr>
      <w:r>
        <w:rPr>
          <w:rFonts w:hint="eastAsia"/>
        </w:rPr>
        <w:t>1.高壁垒专业（法学、会计学、计算机类等）建议开放2026级接收，允许2025级报名并自然降级，保障培养质量</w:t>
      </w:r>
    </w:p>
    <w:p w14:paraId="10890912">
      <w:pPr>
        <w:rPr>
          <w:rFonts w:hint="eastAsia"/>
        </w:rPr>
      </w:pPr>
      <w:r>
        <w:rPr>
          <w:rFonts w:hint="eastAsia"/>
        </w:rPr>
        <w:t>2.通识占比高的专业可同时开放2025级、2026级接收，对应接受同年级及低一年级报名</w:t>
      </w:r>
    </w:p>
    <w:p w14:paraId="48952C57">
      <w:pPr>
        <w:rPr>
          <w:rFonts w:hint="eastAsia"/>
        </w:rPr>
      </w:pPr>
      <w:r>
        <w:rPr>
          <w:rFonts w:hint="eastAsia"/>
        </w:rPr>
        <w:t>3.可提前列明主要补修课程清单，便于学生评估学业成本</w:t>
      </w:r>
    </w:p>
    <w:p w14:paraId="2F66D42B">
      <w:pPr>
        <w:rPr>
          <w:rFonts w:hint="eastAsia" w:eastAsia="仿宋_GB2312"/>
          <w:lang w:val="en-US" w:eastAsia="zh-CN"/>
        </w:rPr>
      </w:pPr>
      <w:r>
        <w:rPr>
          <w:rFonts w:hint="eastAsia" w:eastAsia="仿宋_GB2312"/>
          <w:lang w:val="en-US" w:eastAsia="zh-CN"/>
        </w:rPr>
        <w:br w:type="page"/>
      </w:r>
    </w:p>
    <w:p w14:paraId="03FAC0D8">
      <w:pPr>
        <w:ind w:left="0" w:leftChars="0" w:firstLine="0" w:firstLineChars="0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方案参考（虚拟学院含多种类别）</w:t>
      </w:r>
    </w:p>
    <w:p w14:paraId="40CBD0E7">
      <w:pPr>
        <w:spacing w:before="242" w:line="226" w:lineRule="auto"/>
        <w:ind w:left="0" w:leftChars="0" w:firstLine="0" w:firstLineChars="0"/>
        <w:outlineLvl w:val="0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6"/>
          <w:sz w:val="31"/>
          <w:szCs w:val="31"/>
        </w:rPr>
        <w:t>外国语学院</w:t>
      </w:r>
    </w:p>
    <w:p w14:paraId="227C4F27">
      <w:pPr>
        <w:pStyle w:val="2"/>
        <w:numPr>
          <w:ilvl w:val="0"/>
          <w:numId w:val="1"/>
        </w:numPr>
        <w:spacing w:before="262" w:line="220" w:lineRule="auto"/>
        <w:ind w:left="0" w:leftChars="0" w:firstLine="0" w:firstLineChars="0"/>
        <w:rPr>
          <w:b/>
          <w:bCs/>
          <w:spacing w:val="-5"/>
          <w:sz w:val="28"/>
          <w:szCs w:val="28"/>
        </w:rPr>
      </w:pPr>
      <w:r>
        <w:rPr>
          <w:b/>
          <w:bCs/>
          <w:spacing w:val="-5"/>
          <w:sz w:val="28"/>
          <w:szCs w:val="28"/>
        </w:rPr>
        <w:t>接收计划</w:t>
      </w:r>
    </w:p>
    <w:tbl>
      <w:tblPr>
        <w:tblStyle w:val="6"/>
        <w:tblpPr w:leftFromText="180" w:rightFromText="180" w:vertAnchor="text" w:horzAnchor="page" w:tblpXSpec="center" w:tblpY="97"/>
        <w:tblOverlap w:val="never"/>
        <w:tblW w:w="8855" w:type="dxa"/>
        <w:jc w:val="center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994"/>
        <w:gridCol w:w="500"/>
        <w:gridCol w:w="818"/>
        <w:gridCol w:w="1566"/>
        <w:gridCol w:w="2150"/>
        <w:gridCol w:w="2827"/>
      </w:tblGrid>
      <w:tr w14:paraId="389860C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6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</w:tcBorders>
            <w:shd w:val="clear" w:color="auto" w:fill="FFFFFF"/>
            <w:vAlign w:val="center"/>
          </w:tcPr>
          <w:p w14:paraId="7C1C883B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000000"/>
                <w:spacing w:val="4"/>
                <w:sz w:val="24"/>
                <w:szCs w:val="24"/>
              </w:rPr>
              <w:t>专业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65F2724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000000"/>
                <w:spacing w:val="4"/>
                <w:sz w:val="24"/>
                <w:szCs w:val="24"/>
              </w:rPr>
              <w:t>年级</w:t>
            </w:r>
          </w:p>
        </w:tc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674614D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color w:val="000000"/>
                <w:sz w:val="24"/>
                <w:szCs w:val="24"/>
              </w:rPr>
            </w:pPr>
            <w:r>
              <w:rPr>
                <w:rFonts w:ascii="Arial" w:hAnsi="Arial" w:eastAsia="等线" w:cs="Arial"/>
                <w:b w:val="0"/>
                <w:color w:val="000000"/>
                <w:sz w:val="22"/>
              </w:rPr>
              <w:t>拟接收名额</w:t>
            </w:r>
          </w:p>
        </w:tc>
        <w:tc>
          <w:tcPr>
            <w:tcW w:w="1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AEABB59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000000"/>
                <w:spacing w:val="7"/>
                <w:sz w:val="24"/>
                <w:szCs w:val="24"/>
                <w:lang w:val="en-US" w:eastAsia="zh-CN"/>
              </w:rPr>
              <w:t>拟</w:t>
            </w:r>
            <w:r>
              <w:rPr>
                <w:rFonts w:hint="eastAsia" w:ascii="仿宋_GB2312" w:hAnsi="仿宋_GB2312" w:eastAsia="仿宋_GB2312" w:cs="仿宋_GB2312"/>
                <w:b w:val="0"/>
                <w:color w:val="000000"/>
                <w:spacing w:val="7"/>
                <w:sz w:val="24"/>
                <w:szCs w:val="24"/>
              </w:rPr>
              <w:t>报名对象</w:t>
            </w:r>
          </w:p>
        </w:tc>
        <w:tc>
          <w:tcPr>
            <w:tcW w:w="2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6C6FE13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000000"/>
                <w:spacing w:val="7"/>
                <w:sz w:val="24"/>
                <w:szCs w:val="24"/>
              </w:rPr>
              <w:t>报名条件</w:t>
            </w:r>
          </w:p>
        </w:tc>
        <w:tc>
          <w:tcPr>
            <w:tcW w:w="2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F2A30CB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000000"/>
                <w:spacing w:val="3"/>
                <w:sz w:val="24"/>
                <w:szCs w:val="24"/>
              </w:rPr>
              <w:t>备注</w:t>
            </w:r>
          </w:p>
        </w:tc>
      </w:tr>
      <w:tr w14:paraId="2FE9270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7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6E0625D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000000"/>
                <w:spacing w:val="7"/>
                <w:sz w:val="24"/>
                <w:szCs w:val="24"/>
              </w:rPr>
              <w:t>英语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3EED721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000000"/>
                <w:spacing w:val="2"/>
                <w:position w:val="1"/>
                <w:sz w:val="24"/>
                <w:szCs w:val="24"/>
              </w:rPr>
              <w:t>202</w:t>
            </w:r>
            <w:r>
              <w:rPr>
                <w:rFonts w:hint="eastAsia" w:ascii="仿宋_GB2312" w:hAnsi="仿宋_GB2312" w:eastAsia="仿宋_GB2312" w:cs="仿宋_GB2312"/>
                <w:b w:val="0"/>
                <w:color w:val="000000"/>
                <w:spacing w:val="2"/>
                <w:position w:val="1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4D2D72C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000000"/>
                <w:position w:val="1"/>
                <w:sz w:val="24"/>
                <w:szCs w:val="24"/>
              </w:rPr>
              <w:t>4</w:t>
            </w:r>
          </w:p>
        </w:tc>
        <w:tc>
          <w:tcPr>
            <w:tcW w:w="1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186522A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000000"/>
                <w:spacing w:val="4"/>
                <w:sz w:val="24"/>
                <w:szCs w:val="24"/>
                <w:lang w:val="en-US" w:eastAsia="zh-CN"/>
              </w:rPr>
              <w:t>普通类</w:t>
            </w:r>
            <w:r>
              <w:rPr>
                <w:rFonts w:hint="eastAsia" w:ascii="仿宋_GB2312" w:hAnsi="仿宋_GB2312" w:eastAsia="仿宋_GB2312" w:cs="仿宋_GB2312"/>
                <w:b w:val="0"/>
                <w:color w:val="000000"/>
                <w:spacing w:val="4"/>
                <w:sz w:val="24"/>
                <w:szCs w:val="24"/>
              </w:rPr>
              <w:t>专业</w:t>
            </w:r>
            <w:r>
              <w:rPr>
                <w:rFonts w:hint="eastAsia" w:ascii="仿宋_GB2312" w:hAnsi="仿宋_GB2312" w:eastAsia="仿宋_GB2312" w:cs="仿宋_GB2312"/>
                <w:b w:val="0"/>
                <w:color w:val="000000"/>
                <w:spacing w:val="-29"/>
                <w:sz w:val="24"/>
                <w:szCs w:val="24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 w:val="0"/>
                <w:color w:val="000000"/>
                <w:spacing w:val="4"/>
                <w:sz w:val="24"/>
                <w:szCs w:val="24"/>
              </w:rPr>
              <w:t>202</w:t>
            </w:r>
            <w:r>
              <w:rPr>
                <w:rFonts w:hint="eastAsia" w:ascii="仿宋_GB2312" w:hAnsi="仿宋_GB2312" w:eastAsia="仿宋_GB2312" w:cs="仿宋_GB2312"/>
                <w:b w:val="0"/>
                <w:color w:val="000000"/>
                <w:spacing w:val="4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仿宋_GB2312" w:hAnsi="仿宋_GB2312" w:eastAsia="仿宋_GB2312" w:cs="仿宋_GB2312"/>
                <w:b w:val="0"/>
                <w:color w:val="000000"/>
                <w:spacing w:val="4"/>
                <w:sz w:val="24"/>
                <w:szCs w:val="24"/>
              </w:rPr>
              <w:t>-202</w:t>
            </w:r>
            <w:r>
              <w:rPr>
                <w:rFonts w:hint="eastAsia" w:ascii="仿宋_GB2312" w:hAnsi="仿宋_GB2312" w:eastAsia="仿宋_GB2312" w:cs="仿宋_GB2312"/>
                <w:b w:val="0"/>
                <w:color w:val="000000"/>
                <w:spacing w:val="4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="仿宋_GB2312" w:hAnsi="仿宋_GB2312" w:eastAsia="仿宋_GB2312" w:cs="仿宋_GB2312"/>
                <w:b w:val="0"/>
                <w:color w:val="000000"/>
                <w:spacing w:val="-34"/>
                <w:sz w:val="24"/>
                <w:szCs w:val="24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 w:val="0"/>
                <w:color w:val="000000"/>
                <w:spacing w:val="4"/>
                <w:sz w:val="24"/>
                <w:szCs w:val="24"/>
              </w:rPr>
              <w:t>级学生</w:t>
            </w:r>
          </w:p>
        </w:tc>
        <w:tc>
          <w:tcPr>
            <w:tcW w:w="21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E12A4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000000"/>
                <w:sz w:val="24"/>
                <w:szCs w:val="24"/>
              </w:rPr>
              <w:t>1.符合学校专业二次选择基本条件，思想政治表现良好；</w:t>
            </w:r>
            <w:r>
              <w:rPr>
                <w:rFonts w:hint="eastAsia" w:ascii="仿宋_GB2312" w:hAnsi="仿宋_GB2312" w:eastAsia="仿宋_GB2312" w:cs="仿宋_GB2312"/>
                <w:b w:val="0"/>
                <w:color w:val="000000"/>
                <w:sz w:val="24"/>
                <w:szCs w:val="24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color w:val="000000"/>
                <w:sz w:val="24"/>
                <w:szCs w:val="24"/>
              </w:rPr>
              <w:t>2.对申请专业有明确学习志向，具备相应基础认知</w:t>
            </w:r>
            <w:r>
              <w:rPr>
                <w:rFonts w:hint="eastAsia" w:ascii="仿宋_GB2312" w:hAnsi="仿宋_GB2312" w:eastAsia="仿宋_GB2312" w:cs="仿宋_GB2312"/>
                <w:b w:val="0"/>
                <w:color w:val="000000"/>
                <w:sz w:val="24"/>
                <w:szCs w:val="24"/>
                <w:lang w:eastAsia="zh-CN"/>
              </w:rPr>
              <w:t>。</w:t>
            </w:r>
          </w:p>
        </w:tc>
        <w:tc>
          <w:tcPr>
            <w:tcW w:w="282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1FACB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000000"/>
                <w:sz w:val="24"/>
                <w:szCs w:val="24"/>
              </w:rPr>
              <w:t>1.转入后须按接收年级培养方案补修前置课程；</w:t>
            </w:r>
            <w:r>
              <w:rPr>
                <w:rFonts w:hint="eastAsia" w:ascii="仿宋_GB2312" w:hAnsi="仿宋_GB2312" w:eastAsia="仿宋_GB2312" w:cs="仿宋_GB2312"/>
                <w:b w:val="0"/>
                <w:color w:val="000000"/>
                <w:sz w:val="24"/>
                <w:szCs w:val="24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color w:val="000000"/>
                <w:sz w:val="24"/>
                <w:szCs w:val="24"/>
              </w:rPr>
              <w:t>2.报名年级高于接收年级的，按接收年级降级转入；同年级申请经评估未修前置课程较多、无法跟上教学进度的，须降级转入</w:t>
            </w:r>
          </w:p>
        </w:tc>
      </w:tr>
      <w:tr w14:paraId="098B5DD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7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90A9BC5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000000"/>
                <w:spacing w:val="-14"/>
                <w:sz w:val="24"/>
                <w:szCs w:val="24"/>
              </w:rPr>
              <w:t>日语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8D2EC67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000000"/>
                <w:spacing w:val="2"/>
                <w:position w:val="1"/>
                <w:sz w:val="24"/>
                <w:szCs w:val="24"/>
              </w:rPr>
              <w:t>2025</w:t>
            </w:r>
          </w:p>
        </w:tc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9C61E6B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000000"/>
                <w:position w:val="1"/>
                <w:sz w:val="24"/>
                <w:szCs w:val="24"/>
              </w:rPr>
              <w:t>8</w:t>
            </w:r>
          </w:p>
        </w:tc>
        <w:tc>
          <w:tcPr>
            <w:tcW w:w="1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DCF0849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000000"/>
                <w:spacing w:val="4"/>
                <w:sz w:val="24"/>
                <w:szCs w:val="24"/>
                <w:lang w:val="en-US" w:eastAsia="zh-CN"/>
              </w:rPr>
              <w:t>普通类</w:t>
            </w:r>
            <w:r>
              <w:rPr>
                <w:rFonts w:hint="eastAsia" w:ascii="仿宋_GB2312" w:hAnsi="仿宋_GB2312" w:eastAsia="仿宋_GB2312" w:cs="仿宋_GB2312"/>
                <w:b w:val="0"/>
                <w:color w:val="000000"/>
                <w:spacing w:val="4"/>
                <w:sz w:val="24"/>
                <w:szCs w:val="24"/>
              </w:rPr>
              <w:t>专业</w:t>
            </w:r>
            <w:r>
              <w:rPr>
                <w:rFonts w:hint="eastAsia" w:ascii="仿宋_GB2312" w:hAnsi="仿宋_GB2312" w:eastAsia="仿宋_GB2312" w:cs="仿宋_GB2312"/>
                <w:b w:val="0"/>
                <w:color w:val="000000"/>
                <w:spacing w:val="-29"/>
                <w:sz w:val="24"/>
                <w:szCs w:val="24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 w:val="0"/>
                <w:color w:val="000000"/>
                <w:spacing w:val="4"/>
                <w:sz w:val="24"/>
                <w:szCs w:val="24"/>
              </w:rPr>
              <w:t>202</w:t>
            </w:r>
            <w:r>
              <w:rPr>
                <w:rFonts w:hint="eastAsia" w:ascii="仿宋_GB2312" w:hAnsi="仿宋_GB2312" w:eastAsia="仿宋_GB2312" w:cs="仿宋_GB2312"/>
                <w:b w:val="0"/>
                <w:color w:val="000000"/>
                <w:spacing w:val="4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仿宋_GB2312" w:hAnsi="仿宋_GB2312" w:eastAsia="仿宋_GB2312" w:cs="仿宋_GB2312"/>
                <w:b w:val="0"/>
                <w:color w:val="000000"/>
                <w:spacing w:val="4"/>
                <w:sz w:val="24"/>
                <w:szCs w:val="24"/>
              </w:rPr>
              <w:t>-202</w:t>
            </w:r>
            <w:r>
              <w:rPr>
                <w:rFonts w:hint="eastAsia" w:ascii="仿宋_GB2312" w:hAnsi="仿宋_GB2312" w:eastAsia="仿宋_GB2312" w:cs="仿宋_GB2312"/>
                <w:b w:val="0"/>
                <w:color w:val="000000"/>
                <w:spacing w:val="4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="仿宋_GB2312" w:hAnsi="仿宋_GB2312" w:eastAsia="仿宋_GB2312" w:cs="仿宋_GB2312"/>
                <w:b w:val="0"/>
                <w:color w:val="000000"/>
                <w:spacing w:val="-34"/>
                <w:sz w:val="24"/>
                <w:szCs w:val="24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 w:val="0"/>
                <w:color w:val="000000"/>
                <w:spacing w:val="4"/>
                <w:sz w:val="24"/>
                <w:szCs w:val="24"/>
              </w:rPr>
              <w:t>级学生</w:t>
            </w:r>
          </w:p>
        </w:tc>
        <w:tc>
          <w:tcPr>
            <w:tcW w:w="21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6EFAA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color w:val="000000"/>
                <w:sz w:val="24"/>
                <w:szCs w:val="24"/>
              </w:rPr>
            </w:pPr>
          </w:p>
        </w:tc>
        <w:tc>
          <w:tcPr>
            <w:tcW w:w="28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2A1DD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color w:val="000000"/>
                <w:sz w:val="24"/>
                <w:szCs w:val="24"/>
              </w:rPr>
            </w:pPr>
          </w:p>
        </w:tc>
      </w:tr>
      <w:tr w14:paraId="7239704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88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0F508A1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000000"/>
                <w:spacing w:val="5"/>
                <w:sz w:val="24"/>
                <w:szCs w:val="24"/>
                <w:lang w:val="en-US" w:eastAsia="zh-CN"/>
              </w:rPr>
              <w:t>德</w:t>
            </w:r>
            <w:r>
              <w:rPr>
                <w:rFonts w:hint="eastAsia" w:ascii="仿宋_GB2312" w:hAnsi="仿宋_GB2312" w:eastAsia="仿宋_GB2312" w:cs="仿宋_GB2312"/>
                <w:b w:val="0"/>
                <w:color w:val="000000"/>
                <w:spacing w:val="5"/>
                <w:sz w:val="24"/>
                <w:szCs w:val="24"/>
              </w:rPr>
              <w:t>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C87A092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000000"/>
                <w:spacing w:val="2"/>
                <w:position w:val="1"/>
                <w:sz w:val="24"/>
                <w:szCs w:val="24"/>
              </w:rPr>
              <w:t>2025</w:t>
            </w:r>
          </w:p>
        </w:tc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3F670C2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000000"/>
                <w:position w:val="1"/>
                <w:sz w:val="24"/>
                <w:szCs w:val="24"/>
              </w:rPr>
              <w:t>4</w:t>
            </w:r>
          </w:p>
        </w:tc>
        <w:tc>
          <w:tcPr>
            <w:tcW w:w="1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4450AF0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000000"/>
                <w:spacing w:val="4"/>
                <w:sz w:val="24"/>
                <w:szCs w:val="24"/>
                <w:lang w:val="en-US" w:eastAsia="zh-CN"/>
              </w:rPr>
              <w:t>普通类</w:t>
            </w:r>
            <w:r>
              <w:rPr>
                <w:rFonts w:hint="eastAsia" w:ascii="仿宋_GB2312" w:hAnsi="仿宋_GB2312" w:eastAsia="仿宋_GB2312" w:cs="仿宋_GB2312"/>
                <w:b w:val="0"/>
                <w:color w:val="000000"/>
                <w:spacing w:val="4"/>
                <w:sz w:val="24"/>
                <w:szCs w:val="24"/>
              </w:rPr>
              <w:t>专业</w:t>
            </w:r>
            <w:r>
              <w:rPr>
                <w:rFonts w:hint="eastAsia" w:ascii="仿宋_GB2312" w:hAnsi="仿宋_GB2312" w:eastAsia="仿宋_GB2312" w:cs="仿宋_GB2312"/>
                <w:b w:val="0"/>
                <w:color w:val="000000"/>
                <w:spacing w:val="-29"/>
                <w:sz w:val="24"/>
                <w:szCs w:val="24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 w:val="0"/>
                <w:color w:val="000000"/>
                <w:spacing w:val="4"/>
                <w:sz w:val="24"/>
                <w:szCs w:val="24"/>
              </w:rPr>
              <w:t>202</w:t>
            </w:r>
            <w:r>
              <w:rPr>
                <w:rFonts w:hint="eastAsia" w:ascii="仿宋_GB2312" w:hAnsi="仿宋_GB2312" w:eastAsia="仿宋_GB2312" w:cs="仿宋_GB2312"/>
                <w:b w:val="0"/>
                <w:color w:val="000000"/>
                <w:spacing w:val="4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仿宋_GB2312" w:hAnsi="仿宋_GB2312" w:eastAsia="仿宋_GB2312" w:cs="仿宋_GB2312"/>
                <w:b w:val="0"/>
                <w:color w:val="000000"/>
                <w:spacing w:val="4"/>
                <w:sz w:val="24"/>
                <w:szCs w:val="24"/>
              </w:rPr>
              <w:t>-202</w:t>
            </w:r>
            <w:r>
              <w:rPr>
                <w:rFonts w:hint="eastAsia" w:ascii="仿宋_GB2312" w:hAnsi="仿宋_GB2312" w:eastAsia="仿宋_GB2312" w:cs="仿宋_GB2312"/>
                <w:b w:val="0"/>
                <w:color w:val="000000"/>
                <w:spacing w:val="4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="仿宋_GB2312" w:hAnsi="仿宋_GB2312" w:eastAsia="仿宋_GB2312" w:cs="仿宋_GB2312"/>
                <w:b w:val="0"/>
                <w:color w:val="000000"/>
                <w:spacing w:val="-34"/>
                <w:sz w:val="24"/>
                <w:szCs w:val="24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 w:val="0"/>
                <w:color w:val="000000"/>
                <w:spacing w:val="4"/>
                <w:sz w:val="24"/>
                <w:szCs w:val="24"/>
              </w:rPr>
              <w:t>级学生</w:t>
            </w:r>
          </w:p>
        </w:tc>
        <w:tc>
          <w:tcPr>
            <w:tcW w:w="21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94371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color w:val="000000"/>
                <w:sz w:val="24"/>
                <w:szCs w:val="24"/>
              </w:rPr>
            </w:pPr>
          </w:p>
        </w:tc>
        <w:tc>
          <w:tcPr>
            <w:tcW w:w="28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3A343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color w:val="000000"/>
                <w:sz w:val="24"/>
                <w:szCs w:val="24"/>
              </w:rPr>
            </w:pPr>
          </w:p>
        </w:tc>
      </w:tr>
      <w:tr w14:paraId="7FA2D2E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1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CDF00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color w:val="000000"/>
                <w:sz w:val="24"/>
                <w:szCs w:val="24"/>
              </w:rPr>
            </w:pPr>
          </w:p>
          <w:p w14:paraId="556035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color w:val="000000"/>
                <w:sz w:val="24"/>
                <w:szCs w:val="24"/>
              </w:rPr>
            </w:pPr>
          </w:p>
          <w:p w14:paraId="174772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color w:val="000000"/>
                <w:sz w:val="24"/>
                <w:szCs w:val="24"/>
              </w:rPr>
            </w:pPr>
          </w:p>
          <w:p w14:paraId="66C0E7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color w:val="000000"/>
                <w:sz w:val="24"/>
                <w:szCs w:val="24"/>
              </w:rPr>
            </w:pPr>
          </w:p>
          <w:p w14:paraId="70E410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color w:val="000000"/>
                <w:sz w:val="24"/>
                <w:szCs w:val="24"/>
              </w:rPr>
            </w:pPr>
          </w:p>
          <w:p w14:paraId="1F4FD8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color w:val="000000"/>
                <w:sz w:val="24"/>
                <w:szCs w:val="24"/>
              </w:rPr>
            </w:pPr>
          </w:p>
          <w:p w14:paraId="1BDA3995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000000"/>
                <w:spacing w:val="7"/>
                <w:sz w:val="24"/>
                <w:szCs w:val="24"/>
              </w:rPr>
              <w:t>法语（中外</w:t>
            </w:r>
            <w:r>
              <w:rPr>
                <w:rFonts w:hint="eastAsia" w:ascii="仿宋_GB2312" w:hAnsi="仿宋_GB2312" w:eastAsia="仿宋_GB2312" w:cs="仿宋_GB2312"/>
                <w:b w:val="0"/>
                <w:color w:val="000000"/>
                <w:spacing w:val="5"/>
                <w:sz w:val="24"/>
                <w:szCs w:val="24"/>
              </w:rPr>
              <w:t>联合培养）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40447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color w:val="000000"/>
                <w:sz w:val="24"/>
                <w:szCs w:val="24"/>
              </w:rPr>
            </w:pPr>
          </w:p>
          <w:p w14:paraId="6B33CB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color w:val="000000"/>
                <w:sz w:val="24"/>
                <w:szCs w:val="24"/>
              </w:rPr>
            </w:pPr>
          </w:p>
          <w:p w14:paraId="1F07D0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color w:val="000000"/>
                <w:sz w:val="24"/>
                <w:szCs w:val="24"/>
              </w:rPr>
            </w:pPr>
          </w:p>
          <w:p w14:paraId="77DA1A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color w:val="000000"/>
                <w:sz w:val="24"/>
                <w:szCs w:val="24"/>
              </w:rPr>
            </w:pPr>
          </w:p>
          <w:p w14:paraId="342310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color w:val="000000"/>
                <w:sz w:val="24"/>
                <w:szCs w:val="24"/>
              </w:rPr>
            </w:pPr>
          </w:p>
          <w:p w14:paraId="39C06C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color w:val="000000"/>
                <w:sz w:val="24"/>
                <w:szCs w:val="24"/>
              </w:rPr>
            </w:pPr>
          </w:p>
          <w:p w14:paraId="739F7A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color w:val="000000"/>
                <w:sz w:val="24"/>
                <w:szCs w:val="24"/>
              </w:rPr>
            </w:pPr>
          </w:p>
          <w:p w14:paraId="2F8FB697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000000"/>
                <w:spacing w:val="2"/>
                <w:position w:val="1"/>
                <w:sz w:val="24"/>
                <w:szCs w:val="24"/>
              </w:rPr>
              <w:t>202</w:t>
            </w:r>
            <w:r>
              <w:rPr>
                <w:rFonts w:hint="eastAsia" w:ascii="仿宋_GB2312" w:hAnsi="仿宋_GB2312" w:eastAsia="仿宋_GB2312" w:cs="仿宋_GB2312"/>
                <w:b w:val="0"/>
                <w:color w:val="000000"/>
                <w:spacing w:val="2"/>
                <w:position w:val="1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93913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color w:val="000000"/>
                <w:sz w:val="24"/>
                <w:szCs w:val="24"/>
              </w:rPr>
            </w:pPr>
          </w:p>
          <w:p w14:paraId="0997E8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color w:val="000000"/>
                <w:sz w:val="24"/>
                <w:szCs w:val="24"/>
              </w:rPr>
            </w:pPr>
          </w:p>
          <w:p w14:paraId="5214F9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color w:val="000000"/>
                <w:sz w:val="24"/>
                <w:szCs w:val="24"/>
              </w:rPr>
            </w:pPr>
          </w:p>
          <w:p w14:paraId="50F4E9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color w:val="000000"/>
                <w:sz w:val="24"/>
                <w:szCs w:val="24"/>
              </w:rPr>
            </w:pPr>
          </w:p>
          <w:p w14:paraId="046F81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color w:val="000000"/>
                <w:sz w:val="24"/>
                <w:szCs w:val="24"/>
              </w:rPr>
            </w:pPr>
          </w:p>
          <w:p w14:paraId="49217F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color w:val="000000"/>
                <w:sz w:val="24"/>
                <w:szCs w:val="24"/>
              </w:rPr>
            </w:pPr>
          </w:p>
          <w:p w14:paraId="105A48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color w:val="000000"/>
                <w:sz w:val="24"/>
                <w:szCs w:val="24"/>
              </w:rPr>
            </w:pPr>
          </w:p>
          <w:p w14:paraId="09DB47FC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000000"/>
                <w:position w:val="1"/>
                <w:sz w:val="24"/>
                <w:szCs w:val="24"/>
              </w:rPr>
              <w:t>5</w:t>
            </w:r>
          </w:p>
        </w:tc>
        <w:tc>
          <w:tcPr>
            <w:tcW w:w="1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B3B57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color w:val="000000"/>
                <w:sz w:val="24"/>
                <w:szCs w:val="24"/>
              </w:rPr>
            </w:pPr>
          </w:p>
          <w:p w14:paraId="3939DB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color w:val="000000"/>
                <w:sz w:val="24"/>
                <w:szCs w:val="24"/>
              </w:rPr>
            </w:pPr>
          </w:p>
          <w:p w14:paraId="1894A9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color w:val="000000"/>
                <w:sz w:val="24"/>
                <w:szCs w:val="24"/>
              </w:rPr>
            </w:pPr>
          </w:p>
          <w:p w14:paraId="74BC05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color w:val="000000"/>
                <w:sz w:val="24"/>
                <w:szCs w:val="24"/>
              </w:rPr>
            </w:pPr>
          </w:p>
          <w:p w14:paraId="418DE9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color w:val="000000"/>
                <w:sz w:val="24"/>
                <w:szCs w:val="24"/>
              </w:rPr>
            </w:pPr>
          </w:p>
          <w:p w14:paraId="63D8A3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color w:val="000000"/>
                <w:sz w:val="24"/>
                <w:szCs w:val="24"/>
              </w:rPr>
            </w:pPr>
          </w:p>
          <w:p w14:paraId="61A331DD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000000"/>
                <w:spacing w:val="5"/>
                <w:sz w:val="24"/>
                <w:szCs w:val="24"/>
                <w:lang w:val="en-US" w:eastAsia="zh-CN"/>
              </w:rPr>
              <w:t>2026</w:t>
            </w:r>
            <w:r>
              <w:rPr>
                <w:rFonts w:hint="eastAsia" w:ascii="仿宋_GB2312" w:hAnsi="仿宋_GB2312" w:eastAsia="仿宋_GB2312" w:cs="仿宋_GB2312"/>
                <w:b w:val="0"/>
                <w:color w:val="000000"/>
                <w:spacing w:val="5"/>
                <w:sz w:val="24"/>
                <w:szCs w:val="24"/>
              </w:rPr>
              <w:t>级中外联合培</w:t>
            </w:r>
            <w:r>
              <w:rPr>
                <w:rFonts w:hint="eastAsia" w:ascii="仿宋_GB2312" w:hAnsi="仿宋_GB2312" w:eastAsia="仿宋_GB2312" w:cs="仿宋_GB2312"/>
                <w:b w:val="0"/>
                <w:color w:val="000000"/>
                <w:spacing w:val="7"/>
                <w:sz w:val="24"/>
                <w:szCs w:val="24"/>
              </w:rPr>
              <w:t>养学生</w:t>
            </w:r>
          </w:p>
        </w:tc>
        <w:tc>
          <w:tcPr>
            <w:tcW w:w="2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08B94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000000"/>
                <w:sz w:val="24"/>
                <w:szCs w:val="24"/>
              </w:rPr>
              <w:t>1.符合学校专业二次选择基本条件，思想政治表现良好；</w:t>
            </w:r>
            <w:r>
              <w:rPr>
                <w:rFonts w:hint="eastAsia" w:ascii="仿宋_GB2312" w:hAnsi="仿宋_GB2312" w:eastAsia="仿宋_GB2312" w:cs="仿宋_GB2312"/>
                <w:b w:val="0"/>
                <w:color w:val="000000"/>
                <w:sz w:val="24"/>
                <w:szCs w:val="24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color w:val="000000"/>
                <w:sz w:val="24"/>
                <w:szCs w:val="24"/>
              </w:rPr>
              <w:t>2.对申请专业有明确学习志向，具备相应基础认知</w:t>
            </w:r>
            <w:r>
              <w:rPr>
                <w:rFonts w:hint="eastAsia" w:ascii="仿宋_GB2312" w:hAnsi="仿宋_GB2312" w:eastAsia="仿宋_GB2312" w:cs="仿宋_GB2312"/>
                <w:b w:val="0"/>
                <w:color w:val="000000"/>
                <w:sz w:val="24"/>
                <w:szCs w:val="24"/>
                <w:lang w:eastAsia="zh-CN"/>
              </w:rPr>
              <w:t>。</w:t>
            </w:r>
          </w:p>
        </w:tc>
        <w:tc>
          <w:tcPr>
            <w:tcW w:w="2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33D65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000000"/>
                <w:sz w:val="24"/>
                <w:szCs w:val="24"/>
              </w:rPr>
              <w:t>1.转入后须按接收年级培养方案补修前置课程；</w:t>
            </w:r>
            <w:r>
              <w:rPr>
                <w:rFonts w:hint="eastAsia" w:ascii="仿宋_GB2312" w:hAnsi="仿宋_GB2312" w:eastAsia="仿宋_GB2312" w:cs="仿宋_GB2312"/>
                <w:b w:val="0"/>
                <w:color w:val="000000"/>
                <w:sz w:val="24"/>
                <w:szCs w:val="24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color w:val="000000"/>
                <w:sz w:val="24"/>
                <w:szCs w:val="24"/>
              </w:rPr>
              <w:t>2.报名年级高于接收年级的，按接收年级降级转入；同年级申请经评估未修前置课程较多、无法跟上教学进度的，须降级转入</w:t>
            </w:r>
          </w:p>
        </w:tc>
      </w:tr>
    </w:tbl>
    <w:p w14:paraId="6327B1F7">
      <w:pPr>
        <w:spacing w:line="117" w:lineRule="exact"/>
      </w:pPr>
    </w:p>
    <w:p w14:paraId="42E5214E">
      <w:pPr>
        <w:pStyle w:val="2"/>
        <w:spacing w:before="172" w:line="220" w:lineRule="auto"/>
        <w:ind w:left="350"/>
        <w:rPr>
          <w:sz w:val="28"/>
          <w:szCs w:val="28"/>
        </w:rPr>
      </w:pPr>
      <w:r>
        <w:rPr>
          <w:b/>
          <w:bCs/>
          <w:spacing w:val="-4"/>
          <w:sz w:val="28"/>
          <w:szCs w:val="28"/>
        </w:rPr>
        <w:t>二、转专业咨询及报名联系人</w:t>
      </w:r>
    </w:p>
    <w:p w14:paraId="2EAB122C">
      <w:pPr>
        <w:spacing w:line="118" w:lineRule="exact"/>
      </w:pPr>
    </w:p>
    <w:tbl>
      <w:tblPr>
        <w:tblStyle w:val="6"/>
        <w:tblW w:w="8526" w:type="dxa"/>
        <w:tblInd w:w="224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35"/>
        <w:gridCol w:w="7291"/>
      </w:tblGrid>
      <w:tr w14:paraId="3D30567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0" w:hRule="atLeast"/>
        </w:trPr>
        <w:tc>
          <w:tcPr>
            <w:tcW w:w="1235" w:type="dxa"/>
            <w:vAlign w:val="top"/>
          </w:tcPr>
          <w:p w14:paraId="7F48FEC3">
            <w:pPr>
              <w:pStyle w:val="5"/>
              <w:spacing w:before="42" w:line="221" w:lineRule="auto"/>
              <w:ind w:left="264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联系人</w:t>
            </w:r>
          </w:p>
        </w:tc>
        <w:tc>
          <w:tcPr>
            <w:tcW w:w="7291" w:type="dxa"/>
            <w:vAlign w:val="top"/>
          </w:tcPr>
          <w:p w14:paraId="12DA4045">
            <w:pPr>
              <w:pStyle w:val="5"/>
              <w:spacing w:before="41" w:line="219" w:lineRule="auto"/>
              <w:ind w:left="484"/>
              <w:rPr>
                <w:sz w:val="24"/>
                <w:szCs w:val="24"/>
              </w:rPr>
            </w:pPr>
            <w:r>
              <w:rPr>
                <w:rFonts w:hint="eastAsia"/>
                <w:spacing w:val="-1"/>
                <w:sz w:val="24"/>
                <w:szCs w:val="24"/>
                <w:lang w:val="en-US" w:eastAsia="zh-CN"/>
              </w:rPr>
              <w:t>Xxx</w:t>
            </w:r>
            <w:r>
              <w:rPr>
                <w:spacing w:val="-1"/>
                <w:sz w:val="24"/>
                <w:szCs w:val="24"/>
              </w:rPr>
              <w:t>（英语）、</w:t>
            </w:r>
            <w:r>
              <w:rPr>
                <w:rFonts w:hint="eastAsia"/>
                <w:spacing w:val="-1"/>
                <w:sz w:val="24"/>
                <w:szCs w:val="24"/>
                <w:lang w:val="en-US" w:eastAsia="zh-CN"/>
              </w:rPr>
              <w:t>yyy</w:t>
            </w:r>
            <w:r>
              <w:rPr>
                <w:spacing w:val="-1"/>
                <w:sz w:val="24"/>
                <w:szCs w:val="24"/>
              </w:rPr>
              <w:t>（日语/</w:t>
            </w:r>
            <w:r>
              <w:rPr>
                <w:rFonts w:hint="eastAsia"/>
                <w:spacing w:val="-1"/>
                <w:sz w:val="24"/>
                <w:szCs w:val="24"/>
                <w:lang w:val="en-US" w:eastAsia="zh-CN"/>
              </w:rPr>
              <w:t>德</w:t>
            </w:r>
            <w:r>
              <w:rPr>
                <w:spacing w:val="-1"/>
                <w:sz w:val="24"/>
                <w:szCs w:val="24"/>
              </w:rPr>
              <w:t>语/法语）</w:t>
            </w:r>
          </w:p>
        </w:tc>
      </w:tr>
      <w:tr w14:paraId="68BFA45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6" w:hRule="atLeast"/>
        </w:trPr>
        <w:tc>
          <w:tcPr>
            <w:tcW w:w="1235" w:type="dxa"/>
            <w:vAlign w:val="top"/>
          </w:tcPr>
          <w:p w14:paraId="14A6640A">
            <w:pPr>
              <w:pStyle w:val="5"/>
              <w:spacing w:before="39" w:line="219" w:lineRule="auto"/>
              <w:ind w:left="148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办公电话</w:t>
            </w:r>
          </w:p>
        </w:tc>
        <w:tc>
          <w:tcPr>
            <w:tcW w:w="7291" w:type="dxa"/>
            <w:vAlign w:val="top"/>
          </w:tcPr>
          <w:p w14:paraId="735116C0">
            <w:pPr>
              <w:pStyle w:val="5"/>
              <w:spacing w:before="38" w:line="219" w:lineRule="auto"/>
              <w:ind w:left="89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020-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xxxxxxxx</w:t>
            </w:r>
            <w:r>
              <w:rPr>
                <w:sz w:val="24"/>
                <w:szCs w:val="24"/>
              </w:rPr>
              <w:t>（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x</w:t>
            </w:r>
            <w:r>
              <w:rPr>
                <w:sz w:val="24"/>
                <w:szCs w:val="24"/>
              </w:rPr>
              <w:t>老师）、020-</w:t>
            </w:r>
            <w:r>
              <w:rPr>
                <w:rFonts w:hint="eastAsia"/>
                <w:spacing w:val="-1"/>
                <w:sz w:val="24"/>
                <w:szCs w:val="24"/>
                <w:lang w:val="en-US" w:eastAsia="zh-CN"/>
              </w:rPr>
              <w:t>xxxxxxxx</w:t>
            </w:r>
            <w:r>
              <w:rPr>
                <w:spacing w:val="-1"/>
                <w:sz w:val="24"/>
                <w:szCs w:val="24"/>
              </w:rPr>
              <w:t>（</w:t>
            </w:r>
            <w:r>
              <w:rPr>
                <w:rFonts w:hint="eastAsia"/>
                <w:spacing w:val="-1"/>
                <w:sz w:val="24"/>
                <w:szCs w:val="24"/>
                <w:lang w:val="en-US" w:eastAsia="zh-CN"/>
              </w:rPr>
              <w:t>y</w:t>
            </w:r>
            <w:r>
              <w:rPr>
                <w:spacing w:val="-1"/>
                <w:sz w:val="24"/>
                <w:szCs w:val="24"/>
              </w:rPr>
              <w:t>老师）</w:t>
            </w:r>
          </w:p>
        </w:tc>
      </w:tr>
      <w:tr w14:paraId="0056D56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6" w:hRule="atLeast"/>
        </w:trPr>
        <w:tc>
          <w:tcPr>
            <w:tcW w:w="1235" w:type="dxa"/>
            <w:vAlign w:val="top"/>
          </w:tcPr>
          <w:p w14:paraId="3BF69D0C">
            <w:pPr>
              <w:pStyle w:val="5"/>
              <w:spacing w:before="40" w:line="219" w:lineRule="auto"/>
              <w:ind w:left="148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办公地址</w:t>
            </w:r>
          </w:p>
        </w:tc>
        <w:tc>
          <w:tcPr>
            <w:tcW w:w="7291" w:type="dxa"/>
            <w:vAlign w:val="top"/>
          </w:tcPr>
          <w:p w14:paraId="0899B07A">
            <w:pPr>
              <w:pStyle w:val="5"/>
              <w:spacing w:before="39" w:line="219" w:lineRule="auto"/>
              <w:ind w:left="1100"/>
              <w:rPr>
                <w:rFonts w:hint="eastAsia" w:eastAsia="宋体"/>
                <w:sz w:val="24"/>
                <w:szCs w:val="24"/>
                <w:lang w:eastAsia="zh-CN"/>
              </w:rPr>
            </w:pPr>
            <w:r>
              <w:rPr>
                <w:rFonts w:hint="eastAsia"/>
                <w:spacing w:val="-1"/>
                <w:sz w:val="24"/>
                <w:szCs w:val="24"/>
                <w:lang w:val="en-US" w:eastAsia="zh-CN"/>
              </w:rPr>
              <w:t>Xxxx</w:t>
            </w:r>
          </w:p>
        </w:tc>
      </w:tr>
      <w:tr w14:paraId="58F4BA1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0" w:hRule="atLeast"/>
        </w:trPr>
        <w:tc>
          <w:tcPr>
            <w:tcW w:w="1235" w:type="dxa"/>
            <w:vAlign w:val="top"/>
          </w:tcPr>
          <w:p w14:paraId="7956BD80">
            <w:pPr>
              <w:pStyle w:val="5"/>
              <w:spacing w:before="40" w:line="220" w:lineRule="auto"/>
              <w:ind w:left="171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电子邮箱</w:t>
            </w:r>
          </w:p>
        </w:tc>
        <w:tc>
          <w:tcPr>
            <w:tcW w:w="7291" w:type="dxa"/>
            <w:vAlign w:val="top"/>
          </w:tcPr>
          <w:p w14:paraId="4A303428">
            <w:pPr>
              <w:pStyle w:val="5"/>
              <w:spacing w:before="41" w:line="214" w:lineRule="auto"/>
              <w:ind w:left="421"/>
              <w:rPr>
                <w:sz w:val="24"/>
                <w:szCs w:val="24"/>
              </w:rPr>
            </w:pPr>
            <w:r>
              <w:fldChar w:fldCharType="begin"/>
            </w:r>
            <w:r>
              <w:instrText xml:space="preserve"> HYPERLINK "scnumill@qq.com" </w:instrText>
            </w:r>
            <w:r>
              <w:fldChar w:fldCharType="separate"/>
            </w:r>
            <w:r>
              <w:rPr>
                <w:sz w:val="24"/>
                <w:szCs w:val="24"/>
              </w:rPr>
              <w:t>scnumill@qq.com</w:t>
            </w:r>
            <w:r>
              <w:rPr>
                <w:sz w:val="24"/>
                <w:szCs w:val="24"/>
              </w:rPr>
              <w:fldChar w:fldCharType="end"/>
            </w:r>
            <w:r>
              <w:rPr>
                <w:sz w:val="24"/>
                <w:szCs w:val="24"/>
              </w:rPr>
              <w:t>（陈老师）、</w:t>
            </w:r>
            <w:r>
              <w:fldChar w:fldCharType="begin"/>
            </w:r>
            <w:r>
              <w:instrText xml:space="preserve"> HYPERLINK "1214984512@qq.com" </w:instrText>
            </w:r>
            <w:r>
              <w:fldChar w:fldCharType="separate"/>
            </w:r>
            <w:r>
              <w:rPr>
                <w:sz w:val="24"/>
                <w:szCs w:val="24"/>
              </w:rPr>
              <w:t>1</w:t>
            </w:r>
            <w:r>
              <w:rPr>
                <w:spacing w:val="-1"/>
                <w:sz w:val="24"/>
                <w:szCs w:val="24"/>
              </w:rPr>
              <w:t>214984512@qq.com</w:t>
            </w:r>
            <w:r>
              <w:rPr>
                <w:spacing w:val="-1"/>
                <w:sz w:val="24"/>
                <w:szCs w:val="24"/>
              </w:rPr>
              <w:fldChar w:fldCharType="end"/>
            </w:r>
            <w:r>
              <w:rPr>
                <w:spacing w:val="-1"/>
                <w:sz w:val="24"/>
                <w:szCs w:val="24"/>
              </w:rPr>
              <w:t>（李老师）</w:t>
            </w:r>
          </w:p>
        </w:tc>
      </w:tr>
    </w:tbl>
    <w:p w14:paraId="2A4A71CA">
      <w:pPr>
        <w:pStyle w:val="2"/>
        <w:spacing w:before="172" w:line="220" w:lineRule="auto"/>
        <w:ind w:left="345"/>
        <w:rPr>
          <w:sz w:val="28"/>
          <w:szCs w:val="28"/>
        </w:rPr>
      </w:pPr>
      <w:r>
        <w:rPr>
          <w:b/>
          <w:bCs/>
          <w:spacing w:val="-4"/>
          <w:sz w:val="28"/>
          <w:szCs w:val="28"/>
        </w:rPr>
        <w:t>三、考核方案</w:t>
      </w:r>
    </w:p>
    <w:p w14:paraId="23B25D62">
      <w:pPr>
        <w:pStyle w:val="2"/>
        <w:spacing w:before="155" w:line="241" w:lineRule="auto"/>
        <w:ind w:left="342" w:firstLine="13"/>
        <w:jc w:val="both"/>
        <w:rPr>
          <w:sz w:val="24"/>
          <w:szCs w:val="24"/>
        </w:rPr>
      </w:pPr>
      <w:r>
        <w:rPr>
          <w:spacing w:val="2"/>
          <w:sz w:val="24"/>
          <w:szCs w:val="24"/>
        </w:rPr>
        <w:t>（一）资格审查要求：请报名学生提供以下资格审查材料：1、学校自助打</w:t>
      </w:r>
      <w:r>
        <w:rPr>
          <w:spacing w:val="1"/>
          <w:sz w:val="24"/>
          <w:szCs w:val="24"/>
        </w:rPr>
        <w:t>印机打</w:t>
      </w:r>
      <w:r>
        <w:rPr>
          <w:spacing w:val="2"/>
          <w:sz w:val="24"/>
          <w:szCs w:val="24"/>
        </w:rPr>
        <w:t>印的成绩单；2、本人所在学院提供的未受过纪律处分的相关证明材料（需加盖学</w:t>
      </w:r>
      <w:r>
        <w:rPr>
          <w:spacing w:val="-4"/>
          <w:sz w:val="24"/>
          <w:szCs w:val="24"/>
        </w:rPr>
        <w:t>院公章</w:t>
      </w:r>
      <w:r>
        <w:rPr>
          <w:spacing w:val="-18"/>
          <w:sz w:val="24"/>
          <w:szCs w:val="24"/>
        </w:rPr>
        <w:t>）；</w:t>
      </w:r>
      <w:r>
        <w:rPr>
          <w:spacing w:val="-4"/>
          <w:sz w:val="24"/>
          <w:szCs w:val="24"/>
        </w:rPr>
        <w:t>3、个人简历（请到</w:t>
      </w:r>
      <w:r>
        <w:rPr>
          <w:rFonts w:hint="eastAsia"/>
          <w:spacing w:val="-4"/>
          <w:sz w:val="24"/>
          <w:szCs w:val="24"/>
          <w:lang w:val="en-US" w:eastAsia="zh-CN"/>
        </w:rPr>
        <w:t>外国语</w:t>
      </w:r>
      <w:r>
        <w:rPr>
          <w:spacing w:val="-4"/>
          <w:sz w:val="24"/>
          <w:szCs w:val="24"/>
        </w:rPr>
        <w:t>学院网页</w:t>
      </w:r>
      <w:r>
        <w:rPr>
          <w:rFonts w:hint="eastAsia"/>
          <w:spacing w:val="-38"/>
          <w:sz w:val="24"/>
          <w:szCs w:val="24"/>
          <w:lang w:val="en-US" w:eastAsia="zh-CN"/>
        </w:rPr>
        <w:t>xxx</w:t>
      </w:r>
      <w:r>
        <w:rPr>
          <w:spacing w:val="-44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下载简历模板</w:t>
      </w:r>
      <w:r>
        <w:rPr>
          <w:spacing w:val="-18"/>
          <w:sz w:val="24"/>
          <w:szCs w:val="24"/>
        </w:rPr>
        <w:t>）；</w:t>
      </w:r>
      <w:r>
        <w:rPr>
          <w:spacing w:val="-4"/>
          <w:sz w:val="24"/>
          <w:szCs w:val="24"/>
        </w:rPr>
        <w:t>4、</w:t>
      </w:r>
      <w:r>
        <w:rPr>
          <w:spacing w:val="-1"/>
          <w:sz w:val="24"/>
          <w:szCs w:val="24"/>
        </w:rPr>
        <w:t>报名法语（中外联合培养）专业</w:t>
      </w:r>
      <w:r>
        <w:rPr>
          <w:spacing w:val="-4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202</w:t>
      </w:r>
      <w:r>
        <w:rPr>
          <w:rFonts w:hint="eastAsia"/>
          <w:spacing w:val="-1"/>
          <w:sz w:val="24"/>
          <w:szCs w:val="24"/>
          <w:lang w:val="en-US" w:eastAsia="zh-CN"/>
        </w:rPr>
        <w:t>6</w:t>
      </w:r>
      <w:r>
        <w:rPr>
          <w:spacing w:val="-4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级的学生需另外提供法语水平达到</w:t>
      </w:r>
      <w:r>
        <w:rPr>
          <w:spacing w:val="-5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TEF、TCF或</w:t>
      </w:r>
      <w:r>
        <w:rPr>
          <w:spacing w:val="-5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DELF</w:t>
      </w:r>
      <w:r>
        <w:rPr>
          <w:spacing w:val="-5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考试A2</w:t>
      </w:r>
      <w:r>
        <w:rPr>
          <w:spacing w:val="-4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级以上的相关证明、</w:t>
      </w:r>
      <w:r>
        <w:rPr>
          <w:spacing w:val="-7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自助打印机打印的专业绩点排名。</w:t>
      </w:r>
    </w:p>
    <w:p w14:paraId="0E6C79F5">
      <w:pPr>
        <w:pStyle w:val="2"/>
        <w:spacing w:before="78" w:line="219" w:lineRule="auto"/>
        <w:ind w:left="11"/>
        <w:rPr>
          <w:sz w:val="24"/>
          <w:szCs w:val="24"/>
        </w:rPr>
      </w:pPr>
      <w:r>
        <w:rPr>
          <w:spacing w:val="-3"/>
          <w:sz w:val="24"/>
          <w:szCs w:val="24"/>
        </w:rPr>
        <w:t>（二）考核方式：</w:t>
      </w:r>
    </w:p>
    <w:p w14:paraId="727CC8CB">
      <w:pPr>
        <w:pStyle w:val="2"/>
        <w:spacing w:before="75" w:line="219" w:lineRule="auto"/>
        <w:ind w:left="11"/>
        <w:rPr>
          <w:sz w:val="24"/>
          <w:szCs w:val="24"/>
        </w:rPr>
      </w:pPr>
      <w:r>
        <w:rPr>
          <w:spacing w:val="-2"/>
          <w:sz w:val="24"/>
          <w:szCs w:val="24"/>
        </w:rPr>
        <w:t>（1）考核总分：100</w:t>
      </w:r>
      <w:r>
        <w:rPr>
          <w:spacing w:val="-46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分</w:t>
      </w:r>
    </w:p>
    <w:p w14:paraId="17E15A68">
      <w:pPr>
        <w:pStyle w:val="2"/>
        <w:spacing w:before="77" w:line="219" w:lineRule="auto"/>
        <w:ind w:left="11"/>
        <w:rPr>
          <w:sz w:val="24"/>
          <w:szCs w:val="24"/>
        </w:rPr>
      </w:pPr>
      <w:r>
        <w:rPr>
          <w:spacing w:val="-2"/>
          <w:sz w:val="24"/>
          <w:szCs w:val="24"/>
        </w:rPr>
        <w:t>（2）考核方式：笔试+面试</w:t>
      </w:r>
    </w:p>
    <w:p w14:paraId="38E05066">
      <w:pPr>
        <w:pStyle w:val="2"/>
        <w:spacing w:before="77" w:line="219" w:lineRule="auto"/>
        <w:ind w:left="11"/>
        <w:rPr>
          <w:sz w:val="24"/>
          <w:szCs w:val="24"/>
        </w:rPr>
      </w:pPr>
      <w:r>
        <w:rPr>
          <w:spacing w:val="-2"/>
          <w:sz w:val="24"/>
          <w:szCs w:val="24"/>
        </w:rPr>
        <w:t>（3）各考核方式占总分的百分比：</w:t>
      </w:r>
    </w:p>
    <w:p w14:paraId="72141421">
      <w:pPr>
        <w:pStyle w:val="2"/>
        <w:spacing w:before="77" w:line="228" w:lineRule="auto"/>
        <w:ind w:left="730"/>
        <w:rPr>
          <w:sz w:val="24"/>
          <w:szCs w:val="24"/>
        </w:rPr>
      </w:pPr>
      <w:r>
        <w:rPr>
          <w:rFonts w:ascii="MS Gothic" w:hAnsi="MS Gothic" w:eastAsia="MS Gothic" w:cs="MS Gothic"/>
          <w:spacing w:val="-5"/>
          <w:sz w:val="24"/>
          <w:szCs w:val="24"/>
        </w:rPr>
        <w:t>☑</w:t>
      </w:r>
      <w:r>
        <w:rPr>
          <w:spacing w:val="-5"/>
          <w:sz w:val="24"/>
          <w:szCs w:val="24"/>
        </w:rPr>
        <w:t>笔试，</w:t>
      </w:r>
      <w:r>
        <w:rPr>
          <w:spacing w:val="-6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占比</w:t>
      </w:r>
      <w:r>
        <w:rPr>
          <w:spacing w:val="-5"/>
          <w:sz w:val="24"/>
          <w:szCs w:val="24"/>
          <w:u w:val="single" w:color="auto"/>
        </w:rPr>
        <w:t xml:space="preserve"> 40 </w:t>
      </w:r>
      <w:r>
        <w:rPr>
          <w:spacing w:val="-5"/>
          <w:sz w:val="24"/>
          <w:szCs w:val="24"/>
        </w:rPr>
        <w:t>%,考核总分：100；</w:t>
      </w:r>
    </w:p>
    <w:p w14:paraId="297F36C9">
      <w:pPr>
        <w:pStyle w:val="2"/>
        <w:spacing w:before="66" w:line="228" w:lineRule="auto"/>
        <w:ind w:left="730"/>
        <w:rPr>
          <w:sz w:val="24"/>
          <w:szCs w:val="24"/>
        </w:rPr>
      </w:pPr>
      <w:r>
        <w:rPr>
          <w:rFonts w:ascii="MS Gothic" w:hAnsi="MS Gothic" w:eastAsia="MS Gothic" w:cs="MS Gothic"/>
          <w:spacing w:val="-6"/>
          <w:sz w:val="24"/>
          <w:szCs w:val="24"/>
        </w:rPr>
        <w:t>☑</w:t>
      </w:r>
      <w:r>
        <w:rPr>
          <w:spacing w:val="-6"/>
          <w:sz w:val="24"/>
          <w:szCs w:val="24"/>
        </w:rPr>
        <w:t>面试，</w:t>
      </w:r>
      <w:r>
        <w:rPr>
          <w:spacing w:val="-59"/>
          <w:sz w:val="24"/>
          <w:szCs w:val="24"/>
        </w:rPr>
        <w:t xml:space="preserve"> </w:t>
      </w:r>
      <w:r>
        <w:rPr>
          <w:spacing w:val="-6"/>
          <w:sz w:val="24"/>
          <w:szCs w:val="24"/>
        </w:rPr>
        <w:t>占比</w:t>
      </w:r>
      <w:r>
        <w:rPr>
          <w:spacing w:val="-49"/>
          <w:sz w:val="24"/>
          <w:szCs w:val="24"/>
        </w:rPr>
        <w:t xml:space="preserve"> </w:t>
      </w:r>
      <w:r>
        <w:rPr>
          <w:spacing w:val="-6"/>
          <w:sz w:val="24"/>
          <w:szCs w:val="24"/>
          <w:u w:val="single" w:color="auto"/>
        </w:rPr>
        <w:t xml:space="preserve">60 </w:t>
      </w:r>
      <w:r>
        <w:rPr>
          <w:spacing w:val="-6"/>
          <w:sz w:val="24"/>
          <w:szCs w:val="24"/>
        </w:rPr>
        <w:t>%,考核总分：100。</w:t>
      </w:r>
    </w:p>
    <w:p w14:paraId="1172CEAC">
      <w:pPr>
        <w:pStyle w:val="2"/>
        <w:spacing w:before="67" w:line="220" w:lineRule="auto"/>
        <w:ind w:left="11"/>
        <w:rPr>
          <w:sz w:val="24"/>
          <w:szCs w:val="24"/>
        </w:rPr>
      </w:pPr>
      <w:r>
        <w:rPr>
          <w:spacing w:val="-3"/>
          <w:sz w:val="24"/>
          <w:szCs w:val="24"/>
        </w:rPr>
        <w:t>（三）录取原则：</w:t>
      </w:r>
    </w:p>
    <w:p w14:paraId="6E96FD1B">
      <w:pPr>
        <w:pStyle w:val="2"/>
        <w:spacing w:before="74" w:line="219" w:lineRule="auto"/>
        <w:ind w:left="17"/>
        <w:rPr>
          <w:sz w:val="24"/>
          <w:szCs w:val="24"/>
        </w:rPr>
      </w:pPr>
      <w:r>
        <w:rPr>
          <w:spacing w:val="-1"/>
          <w:sz w:val="24"/>
          <w:szCs w:val="24"/>
        </w:rPr>
        <w:t>1、英语、法语（中外联合培养</w:t>
      </w:r>
      <w:r>
        <w:rPr>
          <w:spacing w:val="-2"/>
          <w:sz w:val="24"/>
          <w:szCs w:val="24"/>
        </w:rPr>
        <w:t>）专业：</w:t>
      </w:r>
    </w:p>
    <w:p w14:paraId="54ED7594">
      <w:pPr>
        <w:pStyle w:val="2"/>
        <w:spacing w:before="79" w:line="241" w:lineRule="auto"/>
        <w:ind w:right="80" w:firstLine="480"/>
        <w:jc w:val="both"/>
        <w:rPr>
          <w:sz w:val="24"/>
          <w:szCs w:val="24"/>
        </w:rPr>
      </w:pPr>
      <w:r>
        <w:rPr>
          <w:spacing w:val="-1"/>
          <w:sz w:val="24"/>
          <w:szCs w:val="24"/>
        </w:rPr>
        <w:t>考核分两个阶段，第一阶段进行笔试考核，经学院资格审查合格</w:t>
      </w:r>
      <w:r>
        <w:rPr>
          <w:spacing w:val="-2"/>
          <w:sz w:val="24"/>
          <w:szCs w:val="24"/>
        </w:rPr>
        <w:t>的学生进入笔</w:t>
      </w:r>
      <w:r>
        <w:rPr>
          <w:spacing w:val="-3"/>
          <w:sz w:val="24"/>
          <w:szCs w:val="24"/>
        </w:rPr>
        <w:t>试阶段。第二阶段进行综合面试，结合个人简历进行综合评分，按</w:t>
      </w:r>
      <w:r>
        <w:rPr>
          <w:spacing w:val="-15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1:1.5</w:t>
      </w:r>
      <w:r>
        <w:rPr>
          <w:spacing w:val="-31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的比例确定面试名额，在笔试合格（60</w:t>
      </w:r>
      <w:r>
        <w:rPr>
          <w:spacing w:val="-48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分及以上）的情况，按笔试成绩从高到低依次确定参</w:t>
      </w:r>
      <w:r>
        <w:rPr>
          <w:spacing w:val="-2"/>
          <w:sz w:val="24"/>
          <w:szCs w:val="24"/>
        </w:rPr>
        <w:t>加面试学生人选。</w:t>
      </w:r>
    </w:p>
    <w:p w14:paraId="152EB12E">
      <w:pPr>
        <w:pStyle w:val="2"/>
        <w:spacing w:before="44" w:line="242" w:lineRule="auto"/>
        <w:ind w:left="2" w:right="80" w:firstLine="476"/>
        <w:rPr>
          <w:sz w:val="24"/>
          <w:szCs w:val="24"/>
        </w:rPr>
      </w:pPr>
      <w:r>
        <w:rPr>
          <w:sz w:val="24"/>
          <w:szCs w:val="24"/>
        </w:rPr>
        <w:t>在笔试和面试成绩均合格的基础上，按总成绩（笔试</w:t>
      </w:r>
      <w:r>
        <w:rPr>
          <w:spacing w:val="-39"/>
          <w:sz w:val="24"/>
          <w:szCs w:val="24"/>
        </w:rPr>
        <w:t xml:space="preserve"> </w:t>
      </w:r>
      <w:r>
        <w:rPr>
          <w:sz w:val="24"/>
          <w:szCs w:val="24"/>
        </w:rPr>
        <w:t>40%+综合面试60%）从高</w:t>
      </w:r>
      <w:r>
        <w:rPr>
          <w:spacing w:val="-2"/>
          <w:sz w:val="24"/>
          <w:szCs w:val="24"/>
        </w:rPr>
        <w:t>分到低分录取，额满为止。</w:t>
      </w:r>
    </w:p>
    <w:p w14:paraId="17C6A653">
      <w:pPr>
        <w:pStyle w:val="2"/>
        <w:spacing w:before="45" w:line="220" w:lineRule="auto"/>
        <w:ind w:left="2"/>
        <w:rPr>
          <w:sz w:val="24"/>
          <w:szCs w:val="24"/>
        </w:rPr>
      </w:pPr>
      <w:r>
        <w:rPr>
          <w:spacing w:val="-7"/>
          <w:sz w:val="24"/>
          <w:szCs w:val="24"/>
        </w:rPr>
        <w:t>2、</w:t>
      </w:r>
      <w:r>
        <w:rPr>
          <w:spacing w:val="-64"/>
          <w:sz w:val="24"/>
          <w:szCs w:val="24"/>
        </w:rPr>
        <w:t xml:space="preserve"> </w:t>
      </w:r>
      <w:r>
        <w:rPr>
          <w:spacing w:val="-7"/>
          <w:sz w:val="24"/>
          <w:szCs w:val="24"/>
        </w:rPr>
        <w:t>日语、</w:t>
      </w:r>
      <w:r>
        <w:rPr>
          <w:rFonts w:hint="eastAsia"/>
          <w:spacing w:val="-7"/>
          <w:sz w:val="24"/>
          <w:szCs w:val="24"/>
          <w:lang w:val="en-US" w:eastAsia="zh-CN"/>
        </w:rPr>
        <w:t>德</w:t>
      </w:r>
      <w:r>
        <w:rPr>
          <w:spacing w:val="-7"/>
          <w:sz w:val="24"/>
          <w:szCs w:val="24"/>
        </w:rPr>
        <w:t>语专业：</w:t>
      </w:r>
    </w:p>
    <w:p w14:paraId="5365979A">
      <w:pPr>
        <w:pStyle w:val="2"/>
        <w:spacing w:before="75" w:line="242" w:lineRule="auto"/>
        <w:ind w:right="80" w:firstLine="480"/>
        <w:jc w:val="both"/>
        <w:rPr>
          <w:sz w:val="24"/>
          <w:szCs w:val="24"/>
        </w:rPr>
      </w:pPr>
      <w:r>
        <w:rPr>
          <w:spacing w:val="-1"/>
          <w:sz w:val="24"/>
          <w:szCs w:val="24"/>
        </w:rPr>
        <w:t>考核分两个阶段，第一阶段进行笔试考核，经学院资格审查合格</w:t>
      </w:r>
      <w:r>
        <w:rPr>
          <w:spacing w:val="-2"/>
          <w:sz w:val="24"/>
          <w:szCs w:val="24"/>
        </w:rPr>
        <w:t>的学生进入笔</w:t>
      </w:r>
      <w:r>
        <w:rPr>
          <w:spacing w:val="-3"/>
          <w:sz w:val="24"/>
          <w:szCs w:val="24"/>
        </w:rPr>
        <w:t>试阶段。第二阶段进行综合面试，结合个人简历进行综合评分，按</w:t>
      </w:r>
      <w:r>
        <w:rPr>
          <w:spacing w:val="-15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1:1.5</w:t>
      </w:r>
      <w:r>
        <w:rPr>
          <w:spacing w:val="-31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的比例确</w:t>
      </w:r>
      <w:r>
        <w:rPr>
          <w:spacing w:val="-1"/>
          <w:sz w:val="24"/>
          <w:szCs w:val="24"/>
        </w:rPr>
        <w:t>定面试名额，在笔试符合要求的情况，按笔试成绩从高到低依次确定参加</w:t>
      </w:r>
      <w:r>
        <w:rPr>
          <w:spacing w:val="-2"/>
          <w:sz w:val="24"/>
          <w:szCs w:val="24"/>
        </w:rPr>
        <w:t>面试学生</w:t>
      </w:r>
      <w:r>
        <w:rPr>
          <w:spacing w:val="-4"/>
          <w:sz w:val="24"/>
          <w:szCs w:val="24"/>
        </w:rPr>
        <w:t>人选。</w:t>
      </w:r>
    </w:p>
    <w:p w14:paraId="2A0C04AB">
      <w:pPr>
        <w:pStyle w:val="2"/>
        <w:spacing w:before="41" w:line="242" w:lineRule="auto"/>
        <w:ind w:left="6" w:right="80" w:firstLine="472"/>
        <w:rPr>
          <w:sz w:val="24"/>
          <w:szCs w:val="24"/>
        </w:rPr>
      </w:pPr>
      <w:r>
        <w:rPr>
          <w:sz w:val="24"/>
          <w:szCs w:val="24"/>
        </w:rPr>
        <w:t>在笔试和面试成绩符合要求的基础上，按总成绩（笔试</w:t>
      </w:r>
      <w:r>
        <w:rPr>
          <w:spacing w:val="-39"/>
          <w:sz w:val="24"/>
          <w:szCs w:val="24"/>
        </w:rPr>
        <w:t xml:space="preserve"> </w:t>
      </w:r>
      <w:r>
        <w:rPr>
          <w:sz w:val="24"/>
          <w:szCs w:val="24"/>
        </w:rPr>
        <w:t>40%+综合面试60%）从</w:t>
      </w:r>
      <w:r>
        <w:rPr>
          <w:spacing w:val="-2"/>
          <w:sz w:val="24"/>
          <w:szCs w:val="24"/>
        </w:rPr>
        <w:t>高分到低分录取，额满为止。</w:t>
      </w:r>
    </w:p>
    <w:p w14:paraId="6A90615D">
      <w:pPr>
        <w:pStyle w:val="2"/>
        <w:spacing w:before="43" w:line="219" w:lineRule="auto"/>
        <w:ind w:left="11"/>
        <w:rPr>
          <w:sz w:val="24"/>
          <w:szCs w:val="24"/>
        </w:rPr>
      </w:pPr>
      <w:r>
        <w:rPr>
          <w:spacing w:val="-3"/>
          <w:sz w:val="24"/>
          <w:szCs w:val="24"/>
        </w:rPr>
        <w:t>（四）考核内容：</w:t>
      </w:r>
    </w:p>
    <w:p w14:paraId="1059BFC5">
      <w:pPr>
        <w:pStyle w:val="2"/>
        <w:spacing w:before="78" w:line="219" w:lineRule="auto"/>
        <w:ind w:left="63"/>
        <w:rPr>
          <w:sz w:val="24"/>
          <w:szCs w:val="24"/>
        </w:rPr>
      </w:pPr>
      <w:r>
        <w:rPr>
          <w:spacing w:val="-2"/>
          <w:sz w:val="24"/>
          <w:szCs w:val="24"/>
        </w:rPr>
        <w:t>1、英语专业的考核内容：</w:t>
      </w:r>
    </w:p>
    <w:p w14:paraId="5095BB58">
      <w:pPr>
        <w:pStyle w:val="2"/>
        <w:spacing w:before="78" w:line="219" w:lineRule="auto"/>
        <w:ind w:left="57"/>
        <w:rPr>
          <w:sz w:val="24"/>
          <w:szCs w:val="24"/>
        </w:rPr>
      </w:pPr>
      <w:r>
        <w:rPr>
          <w:spacing w:val="-2"/>
          <w:sz w:val="24"/>
          <w:szCs w:val="24"/>
        </w:rPr>
        <w:t>（1）笔试：听力、语法、阅读等（具体以试卷内容</w:t>
      </w:r>
      <w:r>
        <w:rPr>
          <w:spacing w:val="-3"/>
          <w:sz w:val="24"/>
          <w:szCs w:val="24"/>
        </w:rPr>
        <w:t>为准</w:t>
      </w:r>
      <w:r>
        <w:rPr>
          <w:spacing w:val="4"/>
          <w:sz w:val="24"/>
          <w:szCs w:val="24"/>
        </w:rPr>
        <w:t>），</w:t>
      </w:r>
      <w:r>
        <w:rPr>
          <w:spacing w:val="-3"/>
          <w:sz w:val="24"/>
          <w:szCs w:val="24"/>
        </w:rPr>
        <w:t>共</w:t>
      </w:r>
      <w:r>
        <w:rPr>
          <w:spacing w:val="-33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100</w:t>
      </w:r>
      <w:r>
        <w:rPr>
          <w:spacing w:val="-47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分。</w:t>
      </w:r>
    </w:p>
    <w:p w14:paraId="58384C02">
      <w:pPr>
        <w:pStyle w:val="2"/>
        <w:spacing w:before="76" w:line="219" w:lineRule="auto"/>
        <w:ind w:left="57"/>
        <w:rPr>
          <w:sz w:val="24"/>
          <w:szCs w:val="24"/>
        </w:rPr>
      </w:pPr>
      <w:r>
        <w:rPr>
          <w:spacing w:val="-3"/>
          <w:sz w:val="24"/>
          <w:szCs w:val="24"/>
        </w:rPr>
        <w:t>（2）综合面试：口语和综合素质（含个人简历</w:t>
      </w:r>
      <w:r>
        <w:rPr>
          <w:spacing w:val="9"/>
          <w:sz w:val="24"/>
          <w:szCs w:val="24"/>
        </w:rPr>
        <w:t>），</w:t>
      </w:r>
      <w:r>
        <w:rPr>
          <w:spacing w:val="-3"/>
          <w:sz w:val="24"/>
          <w:szCs w:val="24"/>
        </w:rPr>
        <w:t>共</w:t>
      </w:r>
      <w:r>
        <w:rPr>
          <w:spacing w:val="-32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100</w:t>
      </w:r>
      <w:r>
        <w:rPr>
          <w:spacing w:val="-47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分。</w:t>
      </w:r>
    </w:p>
    <w:p w14:paraId="48931DF9">
      <w:pPr>
        <w:pStyle w:val="2"/>
        <w:spacing w:before="79" w:line="219" w:lineRule="auto"/>
        <w:ind w:left="48"/>
        <w:rPr>
          <w:sz w:val="24"/>
          <w:szCs w:val="24"/>
        </w:rPr>
      </w:pPr>
      <w:r>
        <w:rPr>
          <w:spacing w:val="-5"/>
          <w:sz w:val="24"/>
          <w:szCs w:val="24"/>
        </w:rPr>
        <w:t>2、</w:t>
      </w:r>
      <w:r>
        <w:rPr>
          <w:spacing w:val="-59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日语、</w:t>
      </w:r>
      <w:r>
        <w:rPr>
          <w:rFonts w:hint="eastAsia"/>
          <w:spacing w:val="-5"/>
          <w:sz w:val="24"/>
          <w:szCs w:val="24"/>
          <w:lang w:val="en-US" w:eastAsia="zh-CN"/>
        </w:rPr>
        <w:t>德</w:t>
      </w:r>
      <w:r>
        <w:rPr>
          <w:spacing w:val="-5"/>
          <w:sz w:val="24"/>
          <w:szCs w:val="24"/>
        </w:rPr>
        <w:t>语专业的考核内容：</w:t>
      </w:r>
    </w:p>
    <w:p w14:paraId="111F9805">
      <w:pPr>
        <w:pStyle w:val="2"/>
        <w:spacing w:before="78" w:line="242" w:lineRule="auto"/>
        <w:ind w:left="403" w:right="119" w:hanging="346"/>
        <w:rPr>
          <w:sz w:val="24"/>
          <w:szCs w:val="24"/>
        </w:rPr>
      </w:pPr>
      <w:r>
        <w:rPr>
          <w:spacing w:val="-4"/>
          <w:sz w:val="24"/>
          <w:szCs w:val="24"/>
        </w:rPr>
        <w:t>（1）笔试：</w:t>
      </w:r>
      <w:r>
        <w:rPr>
          <w:spacing w:val="-66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日本社会、文化等常识（具体以试卷内容为准</w:t>
      </w:r>
      <w:r>
        <w:rPr>
          <w:spacing w:val="15"/>
          <w:sz w:val="24"/>
          <w:szCs w:val="24"/>
        </w:rPr>
        <w:t>），</w:t>
      </w:r>
      <w:r>
        <w:rPr>
          <w:spacing w:val="-4"/>
          <w:sz w:val="24"/>
          <w:szCs w:val="24"/>
        </w:rPr>
        <w:t>共</w:t>
      </w:r>
      <w:r>
        <w:rPr>
          <w:spacing w:val="-33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100</w:t>
      </w:r>
      <w:r>
        <w:rPr>
          <w:spacing w:val="-48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分；中国、</w:t>
      </w:r>
      <w:r>
        <w:rPr>
          <w:rFonts w:hint="eastAsia"/>
          <w:spacing w:val="-3"/>
          <w:sz w:val="24"/>
          <w:szCs w:val="24"/>
          <w:lang w:eastAsia="zh-CN"/>
        </w:rPr>
        <w:t>德国</w:t>
      </w:r>
      <w:r>
        <w:rPr>
          <w:spacing w:val="-3"/>
          <w:sz w:val="24"/>
          <w:szCs w:val="24"/>
        </w:rPr>
        <w:t>相关国情文化知识（汉语作答</w:t>
      </w:r>
      <w:r>
        <w:rPr>
          <w:spacing w:val="9"/>
          <w:sz w:val="24"/>
          <w:szCs w:val="24"/>
        </w:rPr>
        <w:t>），</w:t>
      </w:r>
      <w:r>
        <w:rPr>
          <w:spacing w:val="-3"/>
          <w:sz w:val="24"/>
          <w:szCs w:val="24"/>
        </w:rPr>
        <w:t>共</w:t>
      </w:r>
      <w:r>
        <w:rPr>
          <w:spacing w:val="-33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100</w:t>
      </w:r>
      <w:r>
        <w:rPr>
          <w:spacing w:val="-48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分。</w:t>
      </w:r>
    </w:p>
    <w:p w14:paraId="70063EC2">
      <w:pPr>
        <w:pStyle w:val="2"/>
        <w:spacing w:before="42" w:line="218" w:lineRule="auto"/>
        <w:jc w:val="right"/>
        <w:rPr>
          <w:sz w:val="24"/>
          <w:szCs w:val="24"/>
        </w:rPr>
      </w:pPr>
      <w:r>
        <w:rPr>
          <w:spacing w:val="-4"/>
          <w:sz w:val="24"/>
          <w:szCs w:val="24"/>
        </w:rPr>
        <w:t>（2）综合面试：日语、</w:t>
      </w:r>
      <w:r>
        <w:rPr>
          <w:rFonts w:hint="eastAsia"/>
          <w:spacing w:val="-4"/>
          <w:sz w:val="24"/>
          <w:szCs w:val="24"/>
          <w:lang w:val="en-US" w:eastAsia="zh-CN"/>
        </w:rPr>
        <w:t>德</w:t>
      </w:r>
      <w:r>
        <w:rPr>
          <w:spacing w:val="-4"/>
          <w:sz w:val="24"/>
          <w:szCs w:val="24"/>
        </w:rPr>
        <w:t>语学习能力评估和</w:t>
      </w:r>
      <w:r>
        <w:rPr>
          <w:spacing w:val="-5"/>
          <w:sz w:val="24"/>
          <w:szCs w:val="24"/>
        </w:rPr>
        <w:t>综合面试（含个人简历</w:t>
      </w:r>
      <w:r>
        <w:rPr>
          <w:spacing w:val="-8"/>
          <w:sz w:val="24"/>
          <w:szCs w:val="24"/>
        </w:rPr>
        <w:t>），</w:t>
      </w:r>
      <w:r>
        <w:rPr>
          <w:spacing w:val="-5"/>
          <w:sz w:val="24"/>
          <w:szCs w:val="24"/>
        </w:rPr>
        <w:t>共</w:t>
      </w:r>
      <w:r>
        <w:rPr>
          <w:spacing w:val="-3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100</w:t>
      </w:r>
      <w:r>
        <w:rPr>
          <w:spacing w:val="-48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分。</w:t>
      </w:r>
    </w:p>
    <w:p w14:paraId="156062E0">
      <w:pPr>
        <w:pStyle w:val="2"/>
        <w:spacing w:before="80" w:line="219" w:lineRule="auto"/>
        <w:ind w:left="50"/>
        <w:rPr>
          <w:sz w:val="24"/>
          <w:szCs w:val="24"/>
        </w:rPr>
      </w:pPr>
      <w:r>
        <w:rPr>
          <w:spacing w:val="-1"/>
          <w:sz w:val="24"/>
          <w:szCs w:val="24"/>
        </w:rPr>
        <w:t>3、法语（中外联合培养）专业（申请转入</w:t>
      </w:r>
      <w:r>
        <w:rPr>
          <w:spacing w:val="-4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20</w:t>
      </w:r>
      <w:r>
        <w:rPr>
          <w:spacing w:val="-2"/>
          <w:sz w:val="24"/>
          <w:szCs w:val="24"/>
        </w:rPr>
        <w:t>2</w:t>
      </w:r>
      <w:r>
        <w:rPr>
          <w:rFonts w:hint="eastAsia"/>
          <w:spacing w:val="-2"/>
          <w:sz w:val="24"/>
          <w:szCs w:val="24"/>
          <w:lang w:val="en-US" w:eastAsia="zh-CN"/>
        </w:rPr>
        <w:t>7</w:t>
      </w:r>
      <w:r>
        <w:rPr>
          <w:spacing w:val="-47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级）的考核内容：</w:t>
      </w:r>
    </w:p>
    <w:p w14:paraId="5E686524">
      <w:pPr>
        <w:pStyle w:val="2"/>
        <w:spacing w:before="77" w:line="219" w:lineRule="auto"/>
        <w:ind w:left="87"/>
        <w:rPr>
          <w:sz w:val="24"/>
          <w:szCs w:val="24"/>
        </w:rPr>
      </w:pPr>
      <w:r>
        <w:rPr>
          <w:spacing w:val="-4"/>
          <w:sz w:val="24"/>
          <w:szCs w:val="24"/>
        </w:rPr>
        <w:t>(1)笔试：英语听力、阅读、写作等，共</w:t>
      </w:r>
      <w:r>
        <w:rPr>
          <w:spacing w:val="-15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100</w:t>
      </w:r>
      <w:r>
        <w:rPr>
          <w:spacing w:val="-48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分。</w:t>
      </w:r>
    </w:p>
    <w:p w14:paraId="68966E1E">
      <w:pPr>
        <w:pStyle w:val="2"/>
        <w:spacing w:before="78" w:line="242" w:lineRule="auto"/>
        <w:ind w:left="486" w:right="80" w:hanging="399"/>
        <w:rPr>
          <w:sz w:val="24"/>
          <w:szCs w:val="24"/>
        </w:rPr>
      </w:pPr>
      <w:r>
        <w:rPr>
          <w:sz w:val="24"/>
          <w:szCs w:val="24"/>
        </w:rPr>
        <w:t>(2)综合面试：转专业原因、英语口语水平、转入新专业后学习</w:t>
      </w:r>
      <w:r>
        <w:rPr>
          <w:spacing w:val="-1"/>
          <w:sz w:val="24"/>
          <w:szCs w:val="24"/>
        </w:rPr>
        <w:t>规划及综合素质考</w:t>
      </w:r>
      <w:r>
        <w:rPr>
          <w:spacing w:val="-7"/>
          <w:sz w:val="24"/>
          <w:szCs w:val="24"/>
        </w:rPr>
        <w:t>察，共</w:t>
      </w:r>
      <w:r>
        <w:rPr>
          <w:spacing w:val="-30"/>
          <w:sz w:val="24"/>
          <w:szCs w:val="24"/>
        </w:rPr>
        <w:t xml:space="preserve"> </w:t>
      </w:r>
      <w:r>
        <w:rPr>
          <w:spacing w:val="-7"/>
          <w:sz w:val="24"/>
          <w:szCs w:val="24"/>
        </w:rPr>
        <w:t>100</w:t>
      </w:r>
      <w:r>
        <w:rPr>
          <w:spacing w:val="-48"/>
          <w:sz w:val="24"/>
          <w:szCs w:val="24"/>
        </w:rPr>
        <w:t xml:space="preserve"> </w:t>
      </w:r>
      <w:r>
        <w:rPr>
          <w:spacing w:val="-7"/>
          <w:sz w:val="24"/>
          <w:szCs w:val="24"/>
        </w:rPr>
        <w:t>分。</w:t>
      </w:r>
    </w:p>
    <w:p w14:paraId="06843B2E">
      <w:pPr>
        <w:pStyle w:val="2"/>
        <w:spacing w:before="45" w:line="219" w:lineRule="auto"/>
        <w:ind w:left="44"/>
        <w:rPr>
          <w:sz w:val="24"/>
          <w:szCs w:val="24"/>
        </w:rPr>
      </w:pPr>
      <w:r>
        <w:rPr>
          <w:spacing w:val="-1"/>
          <w:sz w:val="24"/>
          <w:szCs w:val="24"/>
        </w:rPr>
        <w:t>4、法语（中外联合培养）专业（申请转入</w:t>
      </w:r>
      <w:r>
        <w:rPr>
          <w:spacing w:val="-3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202</w:t>
      </w:r>
      <w:r>
        <w:rPr>
          <w:rFonts w:hint="eastAsia"/>
          <w:spacing w:val="-1"/>
          <w:sz w:val="24"/>
          <w:szCs w:val="24"/>
          <w:lang w:val="en-US" w:eastAsia="zh-CN"/>
        </w:rPr>
        <w:t>6</w:t>
      </w:r>
      <w:r>
        <w:rPr>
          <w:spacing w:val="-46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级）的考核内容：</w:t>
      </w:r>
    </w:p>
    <w:p w14:paraId="5BE55AA2">
      <w:pPr>
        <w:pStyle w:val="2"/>
        <w:spacing w:before="78" w:line="219" w:lineRule="auto"/>
        <w:ind w:left="87"/>
        <w:rPr>
          <w:sz w:val="24"/>
          <w:szCs w:val="24"/>
        </w:rPr>
      </w:pPr>
      <w:r>
        <w:rPr>
          <w:spacing w:val="-3"/>
          <w:sz w:val="24"/>
          <w:szCs w:val="24"/>
        </w:rPr>
        <w:t>(1)笔试：法语听力、语法、阅读、写作等，共</w:t>
      </w:r>
      <w:r>
        <w:rPr>
          <w:spacing w:val="-30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100</w:t>
      </w:r>
      <w:r>
        <w:rPr>
          <w:spacing w:val="-48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分。</w:t>
      </w:r>
    </w:p>
    <w:p w14:paraId="7950B3F0">
      <w:pPr>
        <w:pStyle w:val="2"/>
        <w:spacing w:before="75" w:line="242" w:lineRule="auto"/>
        <w:ind w:left="486" w:right="80" w:hanging="399"/>
        <w:rPr>
          <w:sz w:val="24"/>
          <w:szCs w:val="24"/>
        </w:rPr>
      </w:pPr>
      <w:r>
        <w:rPr>
          <w:sz w:val="24"/>
          <w:szCs w:val="24"/>
        </w:rPr>
        <w:t>(2)综合面试：转专业原因、法语和英语口语水平、转入新专业</w:t>
      </w:r>
      <w:r>
        <w:rPr>
          <w:spacing w:val="-1"/>
          <w:sz w:val="24"/>
          <w:szCs w:val="24"/>
        </w:rPr>
        <w:t>后学习规划及综合</w:t>
      </w:r>
      <w:r>
        <w:rPr>
          <w:spacing w:val="-5"/>
          <w:sz w:val="24"/>
          <w:szCs w:val="24"/>
        </w:rPr>
        <w:t>素质考察，共</w:t>
      </w:r>
      <w:r>
        <w:rPr>
          <w:spacing w:val="-31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100</w:t>
      </w:r>
      <w:r>
        <w:rPr>
          <w:spacing w:val="-48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分。</w:t>
      </w:r>
    </w:p>
    <w:p w14:paraId="747E9E59">
      <w:pPr>
        <w:bidi w:val="0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（五）资格审查结果、考核时间、考核地点等发布方式：</w:t>
      </w:r>
    </w:p>
    <w:p w14:paraId="0D3047B0">
      <w:pPr>
        <w:bidi w:val="0"/>
        <w:rPr>
          <w:rFonts w:hint="eastAsia" w:eastAsia="仿宋_GB2312"/>
          <w:lang w:val="en-US" w:eastAsia="zh-CN"/>
        </w:rPr>
      </w:pPr>
      <w:r>
        <w:rPr>
          <w:spacing w:val="-1"/>
          <w:sz w:val="24"/>
          <w:szCs w:val="24"/>
        </w:rPr>
        <w:t>外国语学</w:t>
      </w:r>
      <w:bookmarkStart w:id="0" w:name="_GoBack"/>
      <w:bookmarkEnd w:id="0"/>
      <w:r>
        <w:rPr>
          <w:spacing w:val="-1"/>
          <w:sz w:val="24"/>
          <w:szCs w:val="24"/>
        </w:rPr>
        <w:t>院网站：</w:t>
      </w:r>
      <w:r>
        <w:rPr>
          <w:rFonts w:hint="eastAsia"/>
          <w:lang w:val="en-US" w:eastAsia="zh-CN"/>
        </w:rPr>
        <w:t>xxx</w:t>
      </w:r>
    </w:p>
    <w:sectPr>
      <w:footerReference r:id="rId5" w:type="default"/>
      <w:pgSz w:w="11906" w:h="16838"/>
      <w:pgMar w:top="2098" w:right="1474" w:bottom="1984" w:left="1587" w:header="851" w:footer="992" w:gutter="0"/>
      <w:cols w:space="0" w:num="1"/>
      <w:rtlGutter w:val="0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02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MS Gothic">
    <w:panose1 w:val="020B0609070205080204"/>
    <w:charset w:val="86"/>
    <w:family w:val="auto"/>
    <w:pitch w:val="default"/>
    <w:sig w:usb0="E00002FF" w:usb1="6AC7FDFB" w:usb2="08000012" w:usb3="00000000" w:csb0="4002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AFE8F7">
    <w:pPr>
      <w:spacing w:line="176" w:lineRule="auto"/>
      <w:ind w:left="8546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</w:rPr>
      <w:t>3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DE47995"/>
    <w:multiLevelType w:val="singleLevel"/>
    <w:tmpl w:val="FDE47995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164520"/>
    <w:rsid w:val="0FBD5D40"/>
    <w:rsid w:val="196551BB"/>
    <w:rsid w:val="1C4F4607"/>
    <w:rsid w:val="2726629C"/>
    <w:rsid w:val="2C657357"/>
    <w:rsid w:val="302A0F04"/>
    <w:rsid w:val="34820CDF"/>
    <w:rsid w:val="37A857F5"/>
    <w:rsid w:val="399E4BC2"/>
    <w:rsid w:val="426143E2"/>
    <w:rsid w:val="43913396"/>
    <w:rsid w:val="4B5B450D"/>
    <w:rsid w:val="4D016683"/>
    <w:rsid w:val="51B8421B"/>
    <w:rsid w:val="52CA47E6"/>
    <w:rsid w:val="56351F07"/>
    <w:rsid w:val="56C643C6"/>
    <w:rsid w:val="711F3B1A"/>
    <w:rsid w:val="75672F7C"/>
    <w:rsid w:val="7B6C67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60" w:lineRule="exact"/>
      <w:ind w:firstLine="883" w:firstLineChars="200"/>
      <w:jc w:val="both"/>
    </w:pPr>
    <w:rPr>
      <w:rFonts w:eastAsia="仿宋_GB2312" w:asciiTheme="minorAscii" w:hAnsiTheme="minorAscii" w:cstheme="minorBidi"/>
      <w:kern w:val="2"/>
      <w:sz w:val="32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宋体" w:hAnsi="宋体" w:eastAsia="宋体" w:cs="宋体"/>
      <w:sz w:val="20"/>
      <w:szCs w:val="20"/>
      <w:lang w:val="en-US" w:eastAsia="en-US" w:bidi="ar-SA"/>
    </w:rPr>
  </w:style>
  <w:style w:type="paragraph" w:customStyle="1" w:styleId="5">
    <w:name w:val="Table Text"/>
    <w:basedOn w:val="1"/>
    <w:semiHidden/>
    <w:qFormat/>
    <w:uiPriority w:val="0"/>
    <w:rPr>
      <w:rFonts w:ascii="宋体" w:hAnsi="宋体" w:eastAsia="宋体" w:cs="宋体"/>
      <w:sz w:val="20"/>
      <w:szCs w:val="20"/>
      <w:lang w:val="en-US" w:eastAsia="en-US" w:bidi="ar-SA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1856</Words>
  <Characters>2082</Characters>
  <Lines>0</Lines>
  <Paragraphs>0</Paragraphs>
  <TotalTime>0</TotalTime>
  <ScaleCrop>false</ScaleCrop>
  <LinksUpToDate>false</LinksUpToDate>
  <CharactersWithSpaces>2088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2026-03-18T00:27:00Z</dcterms:created>
  <dc:creator>Administrator</dc:creator>
  <cp:lastModifiedBy>周景(20111035)</cp:lastModifiedBy>
  <dcterms:modified xsi:type="dcterms:W3CDTF">2026-09-20T07:12:21Z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411AF1609511413BA67632A10DB51328_12</vt:lpwstr>
  </property>
  <property fmtid="{D5CDD505-2E9C-101B-9397-08002B2CF9AE}" pid="4" name="KSOTemplateDocerSaveRecord">
    <vt:lpwstr>eyJoZGlkIjoiZjUxMzg0Y2NmOTE1M2NiNDYzMmI5MmEyNzYzODFkODYiLCJ1c2VySWQiOiIxNTA4ODg5MjU2In0=</vt:lpwstr>
  </property>
</Properties>
</file>