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：</w:t>
      </w:r>
    </w:p>
    <w:p>
      <w:pPr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广东财经大学普教本科课程替代申请审批表</w:t>
      </w:r>
    </w:p>
    <w:tbl>
      <w:tblPr>
        <w:tblStyle w:val="2"/>
        <w:tblW w:w="9382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879"/>
        <w:gridCol w:w="814"/>
        <w:gridCol w:w="1316"/>
        <w:gridCol w:w="952"/>
        <w:gridCol w:w="1286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79" w:type="dxa"/>
            <w:noWrap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258" w:type="dxa"/>
            <w:noWrap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7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ind w:left="9" w:leftChars="-26" w:hanging="64" w:hangingChars="23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258" w:type="dxa"/>
            <w:noWrap/>
            <w:vAlign w:val="center"/>
          </w:tcPr>
          <w:p>
            <w:pPr>
              <w:ind w:left="9" w:leftChars="-26" w:hanging="64" w:hangingChars="23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3" w:hRule="atLeast"/>
        </w:trPr>
        <w:tc>
          <w:tcPr>
            <w:tcW w:w="87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8505" w:type="dxa"/>
            <w:gridSpan w:val="6"/>
            <w:noWrap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替代类型（请在相应类型前画“√”）：□ 事先替代   □ 事后替代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替代课程：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课程名称（                 ） 课程代码（            ）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课程性质（                 ） 学分（      ） 是否已修读（      ）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使用上述课程替代以下课程：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被替代课程：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课程名称（                 ） 课程代码（              ）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课程性质（           ）       学分（    ）   是否已修读（      ）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理由：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4480" w:firstLineChars="16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学生签名：</w:t>
            </w:r>
          </w:p>
          <w:p>
            <w:pPr>
              <w:spacing w:line="400" w:lineRule="exact"/>
              <w:ind w:firstLine="3920" w:firstLineChars="14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</w:trPr>
        <w:tc>
          <w:tcPr>
            <w:tcW w:w="877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审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批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见</w:t>
            </w: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009" w:type="dxa"/>
            <w:gridSpan w:val="3"/>
            <w:noWrap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学生所在学院意见：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领导签名（单位公章）：       </w:t>
            </w:r>
          </w:p>
          <w:p>
            <w:pPr>
              <w:spacing w:line="400" w:lineRule="exact"/>
              <w:ind w:firstLine="1960" w:firstLineChars="7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月   日</w:t>
            </w:r>
          </w:p>
        </w:tc>
        <w:tc>
          <w:tcPr>
            <w:tcW w:w="4496" w:type="dxa"/>
            <w:gridSpan w:val="3"/>
            <w:noWrap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被替代课程开设单位意见：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领导签名（单位公章）：      </w:t>
            </w:r>
          </w:p>
          <w:p>
            <w:pPr>
              <w:spacing w:line="400" w:lineRule="exact"/>
              <w:ind w:firstLine="2380" w:firstLineChars="8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</w:trPr>
        <w:tc>
          <w:tcPr>
            <w:tcW w:w="877" w:type="dxa"/>
            <w:vMerge w:val="continue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6"/>
            <w:noWrap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教务处意见：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3640" w:firstLineChars="13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领导签名（单位公章）：         </w:t>
            </w:r>
          </w:p>
          <w:p>
            <w:pPr>
              <w:spacing w:line="400" w:lineRule="exact"/>
              <w:ind w:firstLine="6160" w:firstLineChars="22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月   日</w:t>
            </w:r>
          </w:p>
        </w:tc>
      </w:tr>
    </w:tbl>
    <w:p>
      <w:r>
        <w:rPr>
          <w:rFonts w:hint="eastAsia" w:ascii="仿宋" w:hAnsi="仿宋" w:eastAsia="仿宋"/>
          <w:color w:val="000000"/>
          <w:sz w:val="24"/>
        </w:rPr>
        <w:t>注：1.本表一式两份，一份由学生本人留存，一份教务处留存。2.事先替代受理时间在每学期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选课期间，成绩及格后可凭该表到教务处309办理事后替代；</w:t>
      </w:r>
      <w:r>
        <w:rPr>
          <w:rFonts w:hint="eastAsia" w:ascii="仿宋" w:hAnsi="仿宋" w:eastAsia="仿宋"/>
          <w:color w:val="000000"/>
          <w:sz w:val="24"/>
        </w:rPr>
        <w:t>事后替代受理时间在补考成绩及格后或转专业后。3.表格经学生所在学院、被替代课程开设单位同意后，最终交到校本部教务处309。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B336F"/>
    <w:rsid w:val="1C7B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2019-11-13T07:23:00Z</dcterms:created>
  <dc:creator>yan_布吉</dc:creator>
  <cp:lastModifiedBy>yan_布吉</cp:lastModifiedBy>
  <dcterms:modified xsi:type="dcterms:W3CDTF">2019-11-13T07:24:13Z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