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kinsoku/>
        <w:autoSpaceDE/>
        <w:autoSpaceDN/>
        <w:adjustRightInd/>
        <w:snapToGrid/>
        <w:spacing w:line="540" w:lineRule="atLeas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snapToGrid/>
          <w:color w:val="000000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/>
        <w:autoSpaceDE/>
        <w:autoSpaceDN/>
        <w:adjustRightInd/>
        <w:snapToGrid/>
        <w:spacing w:line="540" w:lineRule="atLeas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snapToGrid/>
          <w:color w:val="000000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snapToGrid/>
          <w:color w:val="000000"/>
          <w:spacing w:val="0"/>
          <w:kern w:val="0"/>
          <w:sz w:val="44"/>
          <w:szCs w:val="44"/>
          <w:lang w:val="en-US" w:eastAsia="zh-CN" w:bidi="ar"/>
        </w:rPr>
        <w:t>广东财经大学——高等教育出版社</w:t>
      </w:r>
    </w:p>
    <w:p>
      <w:pPr>
        <w:keepNext w:val="0"/>
        <w:keepLines w:val="0"/>
        <w:widowControl/>
        <w:suppressLineNumbers w:val="0"/>
        <w:kinsoku/>
        <w:autoSpaceDE/>
        <w:autoSpaceDN/>
        <w:adjustRightInd/>
        <w:snapToGrid/>
        <w:spacing w:line="540" w:lineRule="atLeast"/>
        <w:jc w:val="center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snapToGrid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napToGrid/>
          <w:color w:val="000000"/>
          <w:spacing w:val="0"/>
          <w:kern w:val="0"/>
          <w:sz w:val="44"/>
          <w:szCs w:val="44"/>
          <w:lang w:val="en-US" w:eastAsia="zh-CN" w:bidi="ar"/>
        </w:rPr>
        <w:t>数字教材建设研讨会会议议程</w:t>
      </w:r>
      <w:bookmarkEnd w:id="0"/>
    </w:p>
    <w:p>
      <w:pPr>
        <w:keepNext w:val="0"/>
        <w:keepLines w:val="0"/>
        <w:widowControl/>
        <w:suppressLineNumbers w:val="0"/>
        <w:kinsoku/>
        <w:autoSpaceDE/>
        <w:autoSpaceDN/>
        <w:adjustRightInd/>
        <w:snapToGrid/>
        <w:spacing w:line="540" w:lineRule="atLeas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snapToGrid/>
          <w:color w:val="000000"/>
          <w:spacing w:val="0"/>
          <w:kern w:val="0"/>
          <w:sz w:val="44"/>
          <w:szCs w:val="44"/>
          <w:lang w:val="en-US" w:eastAsia="zh-CN" w:bidi="ar"/>
        </w:rPr>
      </w:pPr>
    </w:p>
    <w:p>
      <w:pPr>
        <w:rPr>
          <w:rFonts w:hint="eastAsia"/>
        </w:rPr>
      </w:pPr>
    </w:p>
    <w:p>
      <w:pPr>
        <w:rPr>
          <w:rFonts w:hint="default" w:ascii="仿宋" w:hAnsi="仿宋" w:eastAsia="仿宋" w:cs="仿宋"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  <w:t>时  间：</w:t>
      </w:r>
      <w:r>
        <w:rPr>
          <w:rFonts w:hint="eastAsia" w:ascii="仿宋" w:hAnsi="仿宋" w:eastAsia="仿宋" w:cs="仿宋"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  <w:t>2024年5月14日（周二</w:t>
      </w:r>
      <w:r>
        <w:rPr>
          <w:rFonts w:hint="eastAsia" w:ascii="仿宋" w:hAnsi="仿宋" w:eastAsia="仿宋" w:cs="仿宋"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  <w:t>09：50——12:00</w:t>
      </w:r>
    </w:p>
    <w:p>
      <w:pPr>
        <w:rPr>
          <w:rFonts w:hint="eastAsia" w:ascii="仿宋" w:hAnsi="仿宋" w:eastAsia="仿宋" w:cs="仿宋"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</w:pPr>
    </w:p>
    <w:p>
      <w:pPr>
        <w:rPr>
          <w:rFonts w:hint="default" w:ascii="仿宋" w:hAnsi="仿宋" w:eastAsia="仿宋" w:cs="仿宋"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  <w:t>地  点：</w:t>
      </w:r>
      <w:r>
        <w:rPr>
          <w:rFonts w:hint="eastAsia" w:ascii="仿宋" w:hAnsi="仿宋" w:eastAsia="仿宋" w:cs="仿宋"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  <w:t>广东财经大学明德楼801（原行政楼）</w:t>
      </w:r>
    </w:p>
    <w:p>
      <w:pPr>
        <w:rPr>
          <w:rFonts w:hint="eastAsia" w:ascii="仿宋" w:hAnsi="仿宋" w:eastAsia="仿宋" w:cs="仿宋"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  <w:t>主讲人：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  <w:t>郭金录</w:t>
      </w:r>
      <w:r>
        <w:rPr>
          <w:rFonts w:hint="eastAsia" w:ascii="仿宋" w:hAnsi="仿宋" w:eastAsia="仿宋" w:cs="仿宋"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  <w:t xml:space="preserve">   高等教育出版社数字教材院校合作部主任、中国高校金融教育金课联盟秘书长、中国高校智能财会联盟副秘书长、中国高等教育学会数字化课程资源研究分会副秘书长、教育部全国高校建设规划发展中心中国教育智库网特聘专家等。北京交通大学、武汉理工大学、郑州大学等高校客座教授。</w:t>
      </w:r>
    </w:p>
    <w:p>
      <w:pPr>
        <w:rPr>
          <w:rFonts w:hint="eastAsia" w:ascii="仿宋" w:hAnsi="仿宋" w:eastAsia="仿宋" w:cs="仿宋"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  <w:t>参会人员：</w:t>
      </w:r>
      <w:r>
        <w:rPr>
          <w:rFonts w:hint="eastAsia" w:ascii="仿宋" w:hAnsi="仿宋" w:eastAsia="仿宋" w:cs="仿宋"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  <w:t>广东财经大学教务处处长张军、副处长邓欣欣、各学院教学院长及教师、高等教育出版社工作人员、教务处工作人员</w:t>
      </w: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</w:pP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  <w:t>议  程：</w:t>
      </w:r>
    </w:p>
    <w:p>
      <w:pPr>
        <w:rPr>
          <w:rFonts w:hint="default" w:ascii="仿宋" w:hAnsi="仿宋" w:eastAsia="仿宋" w:cs="仿宋"/>
          <w:b/>
          <w:bCs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</w:pPr>
    </w:p>
    <w:tbl>
      <w:tblPr>
        <w:tblStyle w:val="7"/>
        <w:tblW w:w="85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628"/>
        <w:gridCol w:w="4206"/>
        <w:gridCol w:w="20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664" w:type="dxa"/>
            <w:vAlign w:val="center"/>
          </w:tcPr>
          <w:p>
            <w:pPr>
              <w:pStyle w:val="6"/>
              <w:spacing w:before="35" w:line="221" w:lineRule="auto"/>
              <w:ind w:left="95"/>
              <w:jc w:val="both"/>
            </w:pPr>
            <w:r>
              <w:rPr>
                <w:spacing w:val="7"/>
              </w:rPr>
              <w:t>序号</w:t>
            </w:r>
          </w:p>
        </w:tc>
        <w:tc>
          <w:tcPr>
            <w:tcW w:w="1628" w:type="dxa"/>
            <w:vAlign w:val="center"/>
          </w:tcPr>
          <w:p>
            <w:pPr>
              <w:pStyle w:val="6"/>
              <w:spacing w:before="37" w:line="221" w:lineRule="auto"/>
              <w:ind w:left="461"/>
              <w:jc w:val="both"/>
            </w:pPr>
            <w:r>
              <w:rPr>
                <w:spacing w:val="-10"/>
              </w:rPr>
              <w:t>时</w:t>
            </w:r>
            <w:r>
              <w:rPr>
                <w:spacing w:val="34"/>
              </w:rPr>
              <w:t xml:space="preserve">  </w:t>
            </w:r>
            <w:r>
              <w:rPr>
                <w:spacing w:val="-10"/>
              </w:rPr>
              <w:t>间</w:t>
            </w:r>
          </w:p>
        </w:tc>
        <w:tc>
          <w:tcPr>
            <w:tcW w:w="4206" w:type="dxa"/>
            <w:vAlign w:val="center"/>
          </w:tcPr>
          <w:p>
            <w:pPr>
              <w:pStyle w:val="6"/>
              <w:spacing w:before="35" w:line="220" w:lineRule="auto"/>
              <w:ind w:left="1693"/>
              <w:jc w:val="both"/>
            </w:pPr>
            <w:r>
              <w:rPr>
                <w:spacing w:val="-6"/>
              </w:rPr>
              <w:t>议</w:t>
            </w:r>
            <w:r>
              <w:rPr>
                <w:spacing w:val="3"/>
              </w:rPr>
              <w:t xml:space="preserve">   </w:t>
            </w:r>
            <w:r>
              <w:rPr>
                <w:spacing w:val="-6"/>
              </w:rPr>
              <w:t>题</w:t>
            </w:r>
          </w:p>
        </w:tc>
        <w:tc>
          <w:tcPr>
            <w:tcW w:w="2048" w:type="dxa"/>
            <w:vAlign w:val="center"/>
          </w:tcPr>
          <w:p>
            <w:pPr>
              <w:pStyle w:val="6"/>
              <w:spacing w:before="34" w:line="219" w:lineRule="auto"/>
              <w:ind w:left="677"/>
              <w:jc w:val="both"/>
            </w:pPr>
            <w:r>
              <w:rPr>
                <w:rFonts w:hint="eastAsia"/>
                <w:spacing w:val="-2"/>
                <w:lang w:val="en-US" w:eastAsia="zh-CN"/>
              </w:rPr>
              <w:t>发言</w:t>
            </w:r>
            <w:r>
              <w:rPr>
                <w:spacing w:val="-2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64" w:type="dxa"/>
            <w:vAlign w:val="center"/>
          </w:tcPr>
          <w:p>
            <w:pPr>
              <w:pStyle w:val="6"/>
              <w:spacing w:before="109" w:line="184" w:lineRule="auto"/>
              <w:ind w:left="265"/>
              <w:jc w:val="both"/>
            </w:pPr>
            <w:r>
              <w:t>1</w:t>
            </w:r>
          </w:p>
        </w:tc>
        <w:tc>
          <w:tcPr>
            <w:tcW w:w="1628" w:type="dxa"/>
            <w:vAlign w:val="center"/>
          </w:tcPr>
          <w:p>
            <w:pPr>
              <w:pStyle w:val="6"/>
              <w:spacing w:before="109" w:line="184" w:lineRule="auto"/>
              <w:ind w:left="171"/>
              <w:jc w:val="both"/>
              <w:rPr>
                <w:rFonts w:hint="default"/>
                <w:spacing w:val="-3"/>
                <w:lang w:val="en-US"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10</w:t>
            </w:r>
            <w:r>
              <w:rPr>
                <w:spacing w:val="-3"/>
              </w:rPr>
              <w:t>:</w:t>
            </w:r>
            <w:r>
              <w:rPr>
                <w:rFonts w:hint="eastAsia"/>
                <w:spacing w:val="-3"/>
                <w:lang w:val="en-US" w:eastAsia="zh-CN"/>
              </w:rPr>
              <w:t>00</w:t>
            </w:r>
            <w:r>
              <w:rPr>
                <w:spacing w:val="-3"/>
              </w:rPr>
              <w:t>-1</w:t>
            </w:r>
            <w:r>
              <w:rPr>
                <w:rFonts w:hint="eastAsia"/>
                <w:spacing w:val="-3"/>
                <w:lang w:val="en-US" w:eastAsia="zh-CN"/>
              </w:rPr>
              <w:t>0</w:t>
            </w:r>
            <w:r>
              <w:rPr>
                <w:spacing w:val="-3"/>
              </w:rPr>
              <w:t>:</w:t>
            </w:r>
            <w:r>
              <w:rPr>
                <w:rFonts w:hint="eastAsia"/>
                <w:spacing w:val="-3"/>
                <w:lang w:val="en-US" w:eastAsia="zh-CN"/>
              </w:rPr>
              <w:t>05</w:t>
            </w:r>
          </w:p>
        </w:tc>
        <w:tc>
          <w:tcPr>
            <w:tcW w:w="4206" w:type="dxa"/>
            <w:vAlign w:val="center"/>
          </w:tcPr>
          <w:p>
            <w:pPr>
              <w:pStyle w:val="6"/>
              <w:spacing w:before="109" w:line="184" w:lineRule="auto"/>
              <w:jc w:val="center"/>
              <w:rPr>
                <w:rFonts w:hint="default" w:eastAsia="宋体"/>
                <w:spacing w:val="-3"/>
                <w:lang w:val="en-US"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主持人致开场词</w:t>
            </w:r>
          </w:p>
        </w:tc>
        <w:tc>
          <w:tcPr>
            <w:tcW w:w="2048" w:type="dxa"/>
            <w:vAlign w:val="center"/>
          </w:tcPr>
          <w:p>
            <w:pPr>
              <w:pStyle w:val="6"/>
              <w:spacing w:before="21" w:line="219" w:lineRule="auto"/>
              <w:ind w:left="787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4"/>
                <w:lang w:val="en-US" w:eastAsia="zh-CN"/>
              </w:rPr>
              <w:t>张军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64" w:type="dxa"/>
            <w:vAlign w:val="center"/>
          </w:tcPr>
          <w:p>
            <w:pPr>
              <w:pStyle w:val="6"/>
              <w:spacing w:before="112" w:line="183" w:lineRule="auto"/>
              <w:ind w:left="265" w:leftChars="0"/>
              <w:jc w:val="both"/>
            </w:pPr>
            <w:r>
              <w:t>2</w:t>
            </w:r>
          </w:p>
        </w:tc>
        <w:tc>
          <w:tcPr>
            <w:tcW w:w="1628" w:type="dxa"/>
            <w:vAlign w:val="center"/>
          </w:tcPr>
          <w:p>
            <w:pPr>
              <w:pStyle w:val="6"/>
              <w:spacing w:before="111" w:line="184" w:lineRule="auto"/>
              <w:ind w:left="171" w:leftChars="0"/>
              <w:jc w:val="both"/>
              <w:rPr>
                <w:spacing w:val="-3"/>
              </w:rPr>
            </w:pPr>
            <w:r>
              <w:rPr>
                <w:spacing w:val="-3"/>
              </w:rPr>
              <w:t>1</w:t>
            </w:r>
            <w:r>
              <w:rPr>
                <w:rFonts w:hint="eastAsia"/>
                <w:spacing w:val="-3"/>
                <w:lang w:val="en-US" w:eastAsia="zh-CN"/>
              </w:rPr>
              <w:t>0</w:t>
            </w:r>
            <w:r>
              <w:rPr>
                <w:spacing w:val="-3"/>
              </w:rPr>
              <w:t>:</w:t>
            </w:r>
            <w:r>
              <w:rPr>
                <w:rFonts w:hint="eastAsia"/>
                <w:spacing w:val="-3"/>
                <w:lang w:val="en-US" w:eastAsia="zh-CN"/>
              </w:rPr>
              <w:t>0</w:t>
            </w:r>
            <w:r>
              <w:rPr>
                <w:spacing w:val="-3"/>
              </w:rPr>
              <w:t>5-1</w:t>
            </w:r>
            <w:r>
              <w:rPr>
                <w:rFonts w:hint="eastAsia"/>
                <w:spacing w:val="-3"/>
                <w:lang w:val="en-US" w:eastAsia="zh-CN"/>
              </w:rPr>
              <w:t>1</w:t>
            </w:r>
            <w:r>
              <w:rPr>
                <w:spacing w:val="-3"/>
              </w:rPr>
              <w:t>:</w:t>
            </w:r>
            <w:r>
              <w:rPr>
                <w:rFonts w:hint="eastAsia"/>
                <w:spacing w:val="-3"/>
                <w:lang w:val="en-US" w:eastAsia="zh-CN"/>
              </w:rPr>
              <w:t>25</w:t>
            </w:r>
          </w:p>
        </w:tc>
        <w:tc>
          <w:tcPr>
            <w:tcW w:w="4206" w:type="dxa"/>
            <w:vAlign w:val="center"/>
          </w:tcPr>
          <w:p>
            <w:pPr>
              <w:pStyle w:val="6"/>
              <w:spacing w:before="63" w:line="219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开辟教材建设新领域，塑造教育发展</w:t>
            </w:r>
          </w:p>
          <w:p>
            <w:pPr>
              <w:pStyle w:val="6"/>
              <w:spacing w:before="63" w:line="219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新动能——基于高教社的数字教材建设</w:t>
            </w:r>
          </w:p>
          <w:p>
            <w:pPr>
              <w:pStyle w:val="6"/>
              <w:spacing w:before="63" w:line="219" w:lineRule="auto"/>
              <w:jc w:val="center"/>
              <w:rPr>
                <w:spacing w:val="1"/>
              </w:rPr>
            </w:pPr>
            <w:r>
              <w:rPr>
                <w:rFonts w:hint="eastAsia"/>
              </w:rPr>
              <w:t>实践与思考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郭金录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64" w:type="dxa"/>
            <w:vAlign w:val="center"/>
          </w:tcPr>
          <w:p>
            <w:pPr>
              <w:pStyle w:val="6"/>
              <w:spacing w:before="114" w:line="183" w:lineRule="auto"/>
              <w:ind w:left="264" w:leftChars="0"/>
              <w:jc w:val="both"/>
            </w:pPr>
            <w:r>
              <w:t>3</w:t>
            </w:r>
          </w:p>
        </w:tc>
        <w:tc>
          <w:tcPr>
            <w:tcW w:w="1628" w:type="dxa"/>
            <w:vAlign w:val="center"/>
          </w:tcPr>
          <w:p>
            <w:pPr>
              <w:pStyle w:val="6"/>
              <w:spacing w:before="113" w:line="184" w:lineRule="auto"/>
              <w:ind w:left="171" w:leftChars="0"/>
              <w:jc w:val="both"/>
              <w:rPr>
                <w:spacing w:val="-3"/>
              </w:rPr>
            </w:pPr>
            <w:r>
              <w:rPr>
                <w:spacing w:val="-3"/>
              </w:rPr>
              <w:t>1</w:t>
            </w:r>
            <w:r>
              <w:rPr>
                <w:rFonts w:hint="eastAsia"/>
                <w:spacing w:val="-3"/>
                <w:lang w:val="en-US" w:eastAsia="zh-CN"/>
              </w:rPr>
              <w:t>1</w:t>
            </w:r>
            <w:r>
              <w:rPr>
                <w:spacing w:val="-3"/>
              </w:rPr>
              <w:t>:</w:t>
            </w:r>
            <w:r>
              <w:rPr>
                <w:rFonts w:hint="eastAsia"/>
                <w:spacing w:val="-3"/>
                <w:lang w:val="en-US" w:eastAsia="zh-CN"/>
              </w:rPr>
              <w:t>25</w:t>
            </w:r>
            <w:r>
              <w:rPr>
                <w:spacing w:val="-3"/>
              </w:rPr>
              <w:t>-1</w:t>
            </w:r>
            <w:r>
              <w:rPr>
                <w:rFonts w:hint="eastAsia"/>
                <w:spacing w:val="-3"/>
                <w:lang w:val="en-US" w:eastAsia="zh-CN"/>
              </w:rPr>
              <w:t>2</w:t>
            </w:r>
            <w:r>
              <w:rPr>
                <w:spacing w:val="-3"/>
              </w:rPr>
              <w:t>:00</w:t>
            </w:r>
          </w:p>
        </w:tc>
        <w:tc>
          <w:tcPr>
            <w:tcW w:w="4206" w:type="dxa"/>
            <w:vAlign w:val="center"/>
          </w:tcPr>
          <w:p>
            <w:pPr>
              <w:pStyle w:val="6"/>
              <w:spacing w:before="63" w:line="219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与会人员研讨交流</w:t>
            </w:r>
          </w:p>
        </w:tc>
        <w:tc>
          <w:tcPr>
            <w:tcW w:w="2048" w:type="dxa"/>
            <w:vAlign w:val="center"/>
          </w:tcPr>
          <w:p>
            <w:pPr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参会人员</w:t>
            </w:r>
          </w:p>
        </w:tc>
      </w:tr>
    </w:tbl>
    <w:p>
      <w:pPr>
        <w:rPr>
          <w:rFonts w:hint="default" w:ascii="仿宋" w:hAnsi="仿宋" w:eastAsia="仿宋" w:cs="仿宋"/>
          <w:i w:val="0"/>
          <w:iCs w:val="0"/>
          <w:caps w:val="0"/>
          <w:snapToGrid/>
          <w:color w:val="000000"/>
          <w:spacing w:val="0"/>
          <w:kern w:val="0"/>
          <w:sz w:val="30"/>
          <w:szCs w:val="30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YWRlMjE2NWI4NTRjMWRkMjdhMzg2MjdjZjdjNGIifQ=="/>
  </w:docVars>
  <w:rsids>
    <w:rsidRoot w:val="3AC710F8"/>
    <w:rsid w:val="3AC7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黑体" w:hAnsi="黑体" w:eastAsia="黑体" w:cs="黑体"/>
      <w:sz w:val="20"/>
      <w:szCs w:val="20"/>
      <w:lang w:val="en-US" w:eastAsia="en-US" w:bidi="ar-SA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2024-05-13T01:15:00Z</dcterms:created>
  <dc:creator>杨海阔</dc:creator>
  <cp:lastModifiedBy>杨海阔</cp:lastModifiedBy>
  <dcterms:modified xsi:type="dcterms:W3CDTF">2024-05-13T02:29:39Z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A855A76C68AD4C2E9FD97ABF08B6ABAF_11</vt:lpwstr>
  </property>
</Properties>
</file>