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97" w:rsidRDefault="005C5097" w:rsidP="005C5097">
      <w:pPr>
        <w:ind w:firstLineChars="200" w:firstLine="640"/>
        <w:jc w:val="left"/>
        <w:rPr>
          <w:rFonts w:ascii="仿宋" w:eastAsia="仿宋" w:hAnsi="仿宋" w:cs="仿宋"/>
          <w:sz w:val="32"/>
          <w:szCs w:val="32"/>
        </w:rPr>
      </w:pPr>
      <w:r>
        <w:rPr>
          <w:rFonts w:ascii="仿宋" w:eastAsia="仿宋" w:hAnsi="仿宋" w:cs="仿宋" w:hint="eastAsia"/>
          <w:sz w:val="32"/>
          <w:szCs w:val="32"/>
        </w:rPr>
        <w:t>附件：2023届优秀本科毕业论文（设计）公示名单</w:t>
      </w:r>
    </w:p>
    <w:tbl>
      <w:tblPr>
        <w:tblW w:w="0" w:type="dxa"/>
        <w:jc w:val="center"/>
        <w:tblLayout w:type="fixed"/>
        <w:tblLook w:val="04A0" w:firstRow="1" w:lastRow="0" w:firstColumn="1" w:lastColumn="0" w:noHBand="0" w:noVBand="1"/>
      </w:tblPr>
      <w:tblGrid>
        <w:gridCol w:w="556"/>
        <w:gridCol w:w="1702"/>
        <w:gridCol w:w="1217"/>
        <w:gridCol w:w="2037"/>
        <w:gridCol w:w="6631"/>
        <w:gridCol w:w="874"/>
      </w:tblGrid>
      <w:tr w:rsidR="005C5097" w:rsidTr="005C5097">
        <w:trPr>
          <w:trHeight w:val="312"/>
          <w:jc w:val="center"/>
        </w:trPr>
        <w:tc>
          <w:tcPr>
            <w:tcW w:w="556" w:type="dxa"/>
            <w:vMerge w:val="restart"/>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sz w:val="16"/>
                <w:szCs w:val="16"/>
              </w:rPr>
            </w:pPr>
            <w:r>
              <w:rPr>
                <w:rFonts w:ascii="宋体" w:eastAsia="宋体" w:hAnsi="宋体" w:cs="宋体" w:hint="eastAsia"/>
                <w:kern w:val="0"/>
                <w:sz w:val="16"/>
                <w:szCs w:val="16"/>
                <w:lang w:bidi="ar"/>
              </w:rPr>
              <w:t>序号</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sz w:val="16"/>
                <w:szCs w:val="16"/>
              </w:rPr>
            </w:pPr>
            <w:r>
              <w:rPr>
                <w:rFonts w:ascii="宋体" w:eastAsia="宋体" w:hAnsi="宋体" w:cs="宋体" w:hint="eastAsia"/>
                <w:kern w:val="0"/>
                <w:sz w:val="16"/>
                <w:szCs w:val="16"/>
                <w:lang w:bidi="ar"/>
              </w:rPr>
              <w:t>学院</w:t>
            </w:r>
          </w:p>
        </w:tc>
        <w:tc>
          <w:tcPr>
            <w:tcW w:w="1217" w:type="dxa"/>
            <w:vMerge w:val="restart"/>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sz w:val="16"/>
                <w:szCs w:val="16"/>
              </w:rPr>
            </w:pPr>
            <w:r>
              <w:rPr>
                <w:rFonts w:ascii="宋体" w:eastAsia="宋体" w:hAnsi="宋体" w:cs="宋体" w:hint="eastAsia"/>
                <w:kern w:val="0"/>
                <w:sz w:val="16"/>
                <w:szCs w:val="16"/>
                <w:lang w:bidi="ar"/>
              </w:rPr>
              <w:t>姓名</w:t>
            </w:r>
          </w:p>
        </w:tc>
        <w:tc>
          <w:tcPr>
            <w:tcW w:w="2037" w:type="dxa"/>
            <w:vMerge w:val="restart"/>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sz w:val="16"/>
                <w:szCs w:val="16"/>
              </w:rPr>
            </w:pPr>
            <w:r>
              <w:rPr>
                <w:rFonts w:ascii="宋体" w:eastAsia="宋体" w:hAnsi="宋体" w:cs="宋体" w:hint="eastAsia"/>
                <w:kern w:val="0"/>
                <w:sz w:val="16"/>
                <w:szCs w:val="16"/>
                <w:lang w:bidi="ar"/>
              </w:rPr>
              <w:t>专业</w:t>
            </w:r>
          </w:p>
        </w:tc>
        <w:tc>
          <w:tcPr>
            <w:tcW w:w="6631" w:type="dxa"/>
            <w:vMerge w:val="restart"/>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sz w:val="16"/>
                <w:szCs w:val="16"/>
              </w:rPr>
            </w:pPr>
            <w:r>
              <w:rPr>
                <w:rFonts w:ascii="宋体" w:eastAsia="宋体" w:hAnsi="宋体" w:cs="宋体" w:hint="eastAsia"/>
                <w:kern w:val="0"/>
                <w:sz w:val="16"/>
                <w:szCs w:val="16"/>
                <w:lang w:bidi="ar"/>
              </w:rPr>
              <w:t>论文题目</w:t>
            </w:r>
          </w:p>
        </w:tc>
        <w:tc>
          <w:tcPr>
            <w:tcW w:w="874" w:type="dxa"/>
            <w:vMerge w:val="restart"/>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指导老师</w:t>
            </w:r>
          </w:p>
        </w:tc>
      </w:tr>
      <w:tr w:rsidR="005C5097" w:rsidTr="005C5097">
        <w:trPr>
          <w:trHeight w:val="312"/>
          <w:jc w:val="center"/>
        </w:trPr>
        <w:tc>
          <w:tcPr>
            <w:tcW w:w="556" w:type="dxa"/>
            <w:vMerge/>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left"/>
              <w:rPr>
                <w:rFonts w:ascii="宋体" w:eastAsia="宋体" w:hAnsi="宋体" w:cs="宋体"/>
                <w:sz w:val="16"/>
                <w:szCs w:val="16"/>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left"/>
              <w:rPr>
                <w:rFonts w:ascii="宋体" w:eastAsia="宋体" w:hAnsi="宋体" w:cs="宋体"/>
                <w:sz w:val="16"/>
                <w:szCs w:val="16"/>
              </w:rPr>
            </w:pPr>
          </w:p>
        </w:tc>
        <w:tc>
          <w:tcPr>
            <w:tcW w:w="1217" w:type="dxa"/>
            <w:vMerge/>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left"/>
              <w:rPr>
                <w:rFonts w:ascii="宋体" w:eastAsia="宋体" w:hAnsi="宋体" w:cs="宋体"/>
                <w:sz w:val="16"/>
                <w:szCs w:val="16"/>
              </w:rPr>
            </w:pPr>
          </w:p>
        </w:tc>
        <w:tc>
          <w:tcPr>
            <w:tcW w:w="2037" w:type="dxa"/>
            <w:vMerge/>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left"/>
              <w:rPr>
                <w:rFonts w:ascii="宋体" w:eastAsia="宋体" w:hAnsi="宋体" w:cs="宋体"/>
                <w:sz w:val="16"/>
                <w:szCs w:val="16"/>
              </w:rPr>
            </w:pPr>
          </w:p>
        </w:tc>
        <w:tc>
          <w:tcPr>
            <w:tcW w:w="6631" w:type="dxa"/>
            <w:vMerge/>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left"/>
              <w:rPr>
                <w:rFonts w:ascii="宋体" w:eastAsia="宋体" w:hAnsi="宋体" w:cs="宋体"/>
                <w:sz w:val="16"/>
                <w:szCs w:val="16"/>
              </w:rPr>
            </w:pPr>
          </w:p>
        </w:tc>
        <w:tc>
          <w:tcPr>
            <w:tcW w:w="874" w:type="dxa"/>
            <w:vMerge/>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left"/>
              <w:rPr>
                <w:rFonts w:ascii="宋体" w:eastAsia="宋体" w:hAnsi="宋体" w:cs="宋体"/>
                <w:sz w:val="16"/>
                <w:szCs w:val="16"/>
              </w:rPr>
            </w:pP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湾区影视产业学院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洪妍苹</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广告学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企业慈善责任对消费者心理过程的影响研究——以鸿星尔克捐款事件为例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田洋</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湾区影视产业学院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黄铭琪</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广播电视编导</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美国恐怖电影中的女性形象研究-以招魂宇宙系列电影为例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黄奕宇</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湾区影视产业学院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季奕聪</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播音与主持艺术</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网络科普类节目《咖啡星球》</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田洋</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湾区影视产业学院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bookmarkStart w:id="0" w:name="_GoBack"/>
            <w:bookmarkEnd w:id="0"/>
            <w:r>
              <w:rPr>
                <w:rFonts w:ascii="宋体" w:eastAsia="宋体" w:hAnsi="宋体" w:cs="宋体" w:hint="eastAsia"/>
                <w:color w:val="000000"/>
                <w:kern w:val="0"/>
                <w:sz w:val="16"/>
                <w:szCs w:val="16"/>
                <w:lang w:bidi="ar"/>
              </w:rPr>
              <w:t>曾涛</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数字媒体艺术</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《如父如子》毕业设计</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窦国昊</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国际商学院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冯凡荣</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金融学（佛山校区全学段）</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ESG 报告、融资约束与企业价值提升——基于多时点 DID 模型的中介效应检验</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黄文锋</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财政税务学院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周婧</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税收学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个人所得税专项附加扣除政策的优化研究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孙璐</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7</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财政税务学院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梁湘宜</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税收学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房产税制度改革对地方财政均衡的影响研究——基于广东的模拟测算</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陈淼</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8</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财政税务学院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冯晓彤</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财政学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财政科技支出对地区创新能力的影响——以广东省为例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张方</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9</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财政税务学院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李幸玲</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资产评估</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基于假设清算法的银行不良资产价值评估研究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朱信贵</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10</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财政税务学院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李屹玲</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资产评估</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基于改进的超额收益法对万孚生物商誉价值评估研究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谭小平</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11</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财政税务学院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郑浩燊</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资产评估</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基于层次分析法的职业足球俱乐部价值评估研究——以“西班牙人”为例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郭嘉仪</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12</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法学院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廖雲鑫</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法学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超级价款优先权的理解与适用</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 xml:space="preserve">曾祥生 </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13</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公共管理学院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陈鸿林</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社会工作</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居民个人满意度对社会安全感的影响——基于CSS2017数据的实证研究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谢昕琰</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14</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公共管理学院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谢燕玲</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行政管理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政策工具视角下浙江省数字乡村政策文本量化研究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万方</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15</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公共管理学院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连心莹</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土地资源管理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中国城市群土地利用碳排放时空分异与演变趋势研究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陈少沛</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16</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公共管理学院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李婷婷</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房地产开发与管理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我国建筑起重机事故中的不安全动作及其原因研究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房明</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17</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公共管理学院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邱冬苗</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行政管理（专升本）</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乡村振兴背景下农村人居环境治理研究——以汕头市濠江区为例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姚军</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18</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何承真</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2019国际商务（中外联合培养项目）</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供应链动态能力对企业绩效的影响研究 ——以SHEIN为例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潘苏</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19</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陆栩靖</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国际商务（实验区）</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低碳城市试点政策对外商直接投资的影响</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潘苏</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lastRenderedPageBreak/>
              <w:t>20</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陈淑仪</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国际经济与贸易</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知识产权保护对区域高技术产品出口的影响研究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陈俊</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21</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张浩贤</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国际经济与贸易</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营商环境对城市外商直接投资的影响研究</w:t>
            </w:r>
            <w:r>
              <w:rPr>
                <w:rFonts w:ascii="Helvetica" w:eastAsia="Helvetica" w:hAnsi="Helvetica" w:cs="Helvetica"/>
                <w:color w:val="000000"/>
                <w:kern w:val="0"/>
                <w:sz w:val="16"/>
                <w:szCs w:val="16"/>
                <w:lang w:bidi="ar"/>
              </w:rPr>
              <w:t>——</w:t>
            </w:r>
            <w:r>
              <w:rPr>
                <w:rStyle w:val="font31"/>
                <w:rFonts w:hint="default"/>
                <w:lang w:bidi="ar"/>
              </w:rPr>
              <w:t>基于中国城市数据的实证</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陈培如</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22</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卢良宽</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国际经济与贸易</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劳动力成本对外商直接投资的影响分析——基于中国城市数据的研究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陈培如</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23</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李智勇</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经济学（拔尖创新人才培养实验区）</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产业融合对农民的增收效应——基于互联网发展的视角</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徐忠爱</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24</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林志远</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经济学（拔尖创新人才培养实验区）</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行业技术进步对制造业全要素生产率的影响研究——来自广东企业的经验证据</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王晓丹</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25</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涂玲莉</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经济学（拔尖创新人才培养实验区）</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数字经济发展对城乡收入差距的影响</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刘敬</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26</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统计与数学学院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陈柏欣</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数学与应用数学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非线性发展方程精确解的研究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古勇毅</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27</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统计与数学学院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刘琪琪</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统计学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对我国货运量影响因素的分析与预测——基于时间序列模型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邹战勇</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28</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统计与数学学院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张欣如</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应用统计学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关于大学生外出就餐消费市场调查研究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邹战勇</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29</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统计与数学学院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吴家荣</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数据科学与大数据技术</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基于多目标规划生产型企业的订购与转运方案的设计与研究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陈冰川</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30</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统计与数学学院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潘喆淳</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统计学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广东省人口老龄化预测研究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黎中彦</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31</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统计与数学学院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李子轩</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数据科学与大数据技术</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粤港澳大湾区养老保险与长者幸福感关联性研究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李真</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32</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外国语学院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林炎如</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英语</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The Uncanny: Aesthetics of Negativity in Edgar Allan Poe’s Poems</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沈洁</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33</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外国语学院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钟熳婉</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翻译</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 xml:space="preserve">A Multimodal Discourse Analysis on Mandarin and Cantonese Dubbing Translation ─ A Case Study of </w:t>
            </w:r>
            <w:proofErr w:type="spellStart"/>
            <w:r>
              <w:rPr>
                <w:rFonts w:ascii="Times New Roman" w:eastAsia="宋体" w:hAnsi="Times New Roman" w:cs="Times New Roman"/>
                <w:i/>
                <w:iCs/>
                <w:color w:val="000000"/>
                <w:kern w:val="0"/>
                <w:sz w:val="16"/>
                <w:szCs w:val="16"/>
                <w:lang w:bidi="ar"/>
              </w:rPr>
              <w:t>Zootopia</w:t>
            </w:r>
            <w:proofErr w:type="spellEnd"/>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周红辉</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34</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外国语学院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韦彩帆</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英语</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The“Unity of Effect”in Allan Poe’s Short Stories from the Perspective of Narratology</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沈洁</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35</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会计学院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袁蕾</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会计学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新收入准则对医疗器械企业的影响——基于迈瑞医疗的案例分析</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李璟</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36</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会计学院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刘静怡</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 xml:space="preserve">  审计学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电力行业碳审计框架构建与实施路径研究—— 以华电国际为例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刘婧</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37</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智能财会管理学院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邵彩凤</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财务管理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”双碳”背景下企业绿色转型对财务绩效的影响分析-以宝钢股份为例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陈晓珊</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38</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智能财会管理学院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郑奕奕</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财务管理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并购对企业技术资本积累的影响研究——基于2014-2022上市公司数据</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董艳</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39</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信息学院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许新海</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计算机科学与技术</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基于LSTM-CNN情感倾向性分类的网络舆情监测系统</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杨志华</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lastRenderedPageBreak/>
              <w:t>40</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信息学院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刘炫志</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计算机科学与技术</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基于实例分割网络和3D结构光的机械臂抓取系统设计</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杨志华</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41</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信息学院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赵杰胜</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计算机科学与技术</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基于YOLOv8的人流量检测系统设计与实现</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陈铁梅</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42</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信息学院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赖博宇</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软件工程</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大宗货物物流管理系统设计与实现</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胡苏</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43</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信息学院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周晓涛</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软件工程</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w:t>
            </w:r>
            <w:proofErr w:type="spellStart"/>
            <w:r>
              <w:rPr>
                <w:rFonts w:ascii="宋体" w:eastAsia="宋体" w:hAnsi="宋体" w:cs="宋体" w:hint="eastAsia"/>
                <w:color w:val="000000"/>
                <w:kern w:val="0"/>
                <w:sz w:val="16"/>
                <w:szCs w:val="16"/>
                <w:lang w:bidi="ar"/>
              </w:rPr>
              <w:t>springcloud</w:t>
            </w:r>
            <w:proofErr w:type="spellEnd"/>
            <w:r>
              <w:rPr>
                <w:rFonts w:ascii="宋体" w:eastAsia="宋体" w:hAnsi="宋体" w:cs="宋体" w:hint="eastAsia"/>
                <w:color w:val="000000"/>
                <w:kern w:val="0"/>
                <w:sz w:val="16"/>
                <w:szCs w:val="16"/>
                <w:lang w:bidi="ar"/>
              </w:rPr>
              <w:t>的校园二手闲置物品租售平台的设计与实现</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胡苏</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44</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信息学院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倪凯冰</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电子商务</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不同推荐类型对非标品购买意愿的影响——以朴朴超市和美团优选对比分析为例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李曼</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45</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人力资源学院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陆展宇</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人力资源管理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企业创新绩效演进与前沿热点的可视化分析</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刘俊</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46</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人力资源学院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彭依然</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应用心理学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主播性别和产品类型对于消费者购买意愿的影响</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李惠民</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47</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人力资源学院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陈欣欣</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应用心理学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直播社会临场感对从众消费的影响：社群认同和心流体验的中介作用</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方杰</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48</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人力资源学院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刘凤怡</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人力资源管理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基于扎根理论的青年社会工作者流失问题研究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宋一晓</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49</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艺术与设计学院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黄咏诗、刘宜新、甄文琳</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环境设计</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“零碳行动”——未来可持续社区设计</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王少斌</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50</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艺术与设计学院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练紫莹</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视觉传达设计</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咖啡渣可持续性环保品牌——《一点都不渣》</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陈玲杰</w:t>
            </w:r>
          </w:p>
        </w:tc>
      </w:tr>
      <w:tr w:rsidR="005C5097" w:rsidTr="005C5097">
        <w:trPr>
          <w:trHeight w:val="384"/>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51</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艺术与设计学院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周吉陶、孙艺、潘洪淮</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产品设计</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《基于功能组合法的救援及智能医疗设计——模块化洪涝救援设计，</w:t>
            </w:r>
            <w:proofErr w:type="spellStart"/>
            <w:r>
              <w:rPr>
                <w:rFonts w:ascii="宋体" w:eastAsia="宋体" w:hAnsi="宋体" w:cs="宋体" w:hint="eastAsia"/>
                <w:color w:val="000000"/>
                <w:kern w:val="0"/>
                <w:sz w:val="16"/>
                <w:szCs w:val="16"/>
                <w:lang w:bidi="ar"/>
              </w:rPr>
              <w:t>MaaS</w:t>
            </w:r>
            <w:proofErr w:type="spellEnd"/>
            <w:r>
              <w:rPr>
                <w:rFonts w:ascii="宋体" w:eastAsia="宋体" w:hAnsi="宋体" w:cs="宋体" w:hint="eastAsia"/>
                <w:color w:val="000000"/>
                <w:kern w:val="0"/>
                <w:sz w:val="16"/>
                <w:szCs w:val="16"/>
                <w:lang w:bidi="ar"/>
              </w:rPr>
              <w:t>+类器官培养医疗救援设计》</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刁培煌</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52</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艺术与设计学院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邓荏仁、邱湘湘、吴洁琳、</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数字媒体艺术</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《GDUFE40.0》——校园交互投影互动装置</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梁羡荣</w:t>
            </w:r>
          </w:p>
        </w:tc>
      </w:tr>
      <w:tr w:rsidR="005C5097" w:rsidTr="005C5097">
        <w:trPr>
          <w:trHeight w:val="384"/>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53</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人文与传播学院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聂璐</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新闻学（政法新闻）</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凝视与规训：聊天截图传播的权力运作与监视文化生产</w:t>
            </w:r>
          </w:p>
        </w:tc>
        <w:tc>
          <w:tcPr>
            <w:tcW w:w="874" w:type="dxa"/>
            <w:tcBorders>
              <w:top w:val="single" w:sz="4" w:space="0" w:color="000000"/>
              <w:left w:val="nil"/>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张明羽</w:t>
            </w:r>
          </w:p>
        </w:tc>
      </w:tr>
      <w:tr w:rsidR="005C5097" w:rsidTr="005C5097">
        <w:trPr>
          <w:trHeight w:val="384"/>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54</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人文与传播学院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景胜彬</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新闻学（财经新闻）</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手机使用对留守儿童心理健康的影响研究——基于广东省信宜市金垌镇的调查</w:t>
            </w:r>
          </w:p>
        </w:tc>
        <w:tc>
          <w:tcPr>
            <w:tcW w:w="874" w:type="dxa"/>
            <w:tcBorders>
              <w:top w:val="single" w:sz="4" w:space="0" w:color="000000"/>
              <w:left w:val="nil"/>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莫继严</w:t>
            </w:r>
          </w:p>
        </w:tc>
      </w:tr>
      <w:tr w:rsidR="005C5097" w:rsidTr="005C5097">
        <w:trPr>
          <w:trHeight w:val="576"/>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55</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人文与传播学院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张庄琳</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新闻学全媒体（实验班）</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视频传播平台的用户弹幕话语隐喻——以</w:t>
            </w:r>
            <w:proofErr w:type="spellStart"/>
            <w:r>
              <w:rPr>
                <w:rFonts w:ascii="宋体" w:eastAsia="宋体" w:hAnsi="宋体" w:cs="宋体" w:hint="eastAsia"/>
                <w:color w:val="000000"/>
                <w:kern w:val="0"/>
                <w:sz w:val="16"/>
                <w:szCs w:val="16"/>
                <w:lang w:bidi="ar"/>
              </w:rPr>
              <w:t>bilibili</w:t>
            </w:r>
            <w:proofErr w:type="spellEnd"/>
            <w:r>
              <w:rPr>
                <w:rFonts w:ascii="宋体" w:eastAsia="宋体" w:hAnsi="宋体" w:cs="宋体" w:hint="eastAsia"/>
                <w:color w:val="000000"/>
                <w:kern w:val="0"/>
                <w:sz w:val="16"/>
                <w:szCs w:val="16"/>
                <w:lang w:bidi="ar"/>
              </w:rPr>
              <w:t>视频平台为例</w:t>
            </w:r>
          </w:p>
        </w:tc>
        <w:tc>
          <w:tcPr>
            <w:tcW w:w="874" w:type="dxa"/>
            <w:tcBorders>
              <w:top w:val="single" w:sz="4" w:space="0" w:color="000000"/>
              <w:left w:val="nil"/>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朱立芳</w:t>
            </w:r>
          </w:p>
        </w:tc>
      </w:tr>
      <w:tr w:rsidR="005C5097" w:rsidTr="005C5097">
        <w:trPr>
          <w:trHeight w:val="576"/>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56</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人文与传播学院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魏佳琛</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汉语言文学（商务文秘）</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剧本游戏在博物馆中的叙事呈现与交互体验探究</w:t>
            </w:r>
          </w:p>
        </w:tc>
        <w:tc>
          <w:tcPr>
            <w:tcW w:w="874" w:type="dxa"/>
            <w:tcBorders>
              <w:top w:val="single" w:sz="4" w:space="0" w:color="000000"/>
              <w:left w:val="nil"/>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姚怡然</w:t>
            </w:r>
          </w:p>
        </w:tc>
      </w:tr>
      <w:tr w:rsidR="005C5097" w:rsidTr="005C5097">
        <w:trPr>
          <w:trHeight w:val="576"/>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57</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人文与传播学院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陈铭漩</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汉语言文学（创意写作）</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“内卷”与“躺平”：青年生存的温和仪式抵抗</w:t>
            </w:r>
          </w:p>
        </w:tc>
        <w:tc>
          <w:tcPr>
            <w:tcW w:w="874" w:type="dxa"/>
            <w:tcBorders>
              <w:top w:val="single" w:sz="4" w:space="0" w:color="000000"/>
              <w:left w:val="nil"/>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王文捷</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58</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邹家腾</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市场营销</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直播带货场景对消费者购买意愿和态度影响机制研究——基于ELM模型</w:t>
            </w:r>
          </w:p>
        </w:tc>
        <w:tc>
          <w:tcPr>
            <w:tcW w:w="874" w:type="dxa"/>
            <w:tcBorders>
              <w:top w:val="single" w:sz="4" w:space="0" w:color="000000"/>
              <w:left w:val="nil"/>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肖 怡</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lastRenderedPageBreak/>
              <w:t>59</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曹倩怡</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新媒体时代短视频营销对大学生群体美妆产品消费意愿的影响研究</w:t>
            </w:r>
          </w:p>
        </w:tc>
        <w:tc>
          <w:tcPr>
            <w:tcW w:w="874" w:type="dxa"/>
            <w:tcBorders>
              <w:top w:val="single" w:sz="4" w:space="0" w:color="000000"/>
              <w:left w:val="nil"/>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张文怡</w:t>
            </w:r>
          </w:p>
        </w:tc>
      </w:tr>
      <w:tr w:rsidR="005C5097" w:rsidTr="005C5097">
        <w:trPr>
          <w:trHeight w:val="384"/>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60</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梅琪聆</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创业教育对大学生创业意向的影响机制研究——基于失败恐惧感的中介和自我认同感的调节作用</w:t>
            </w:r>
          </w:p>
        </w:tc>
        <w:tc>
          <w:tcPr>
            <w:tcW w:w="874" w:type="dxa"/>
            <w:tcBorders>
              <w:top w:val="single" w:sz="4" w:space="0" w:color="000000"/>
              <w:left w:val="nil"/>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周健明</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61</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谭秀云</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物流管理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应对突发公共卫生事件的城乡应急物流建设研究</w:t>
            </w:r>
          </w:p>
        </w:tc>
        <w:tc>
          <w:tcPr>
            <w:tcW w:w="874" w:type="dxa"/>
            <w:tcBorders>
              <w:top w:val="single" w:sz="4" w:space="0" w:color="000000"/>
              <w:left w:val="nil"/>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王士虓</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62</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李灿基</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基于扎根理论的高管团队数字领导力对企业数字化转型战略的影响研究</w:t>
            </w:r>
          </w:p>
        </w:tc>
        <w:tc>
          <w:tcPr>
            <w:tcW w:w="874" w:type="dxa"/>
            <w:tcBorders>
              <w:top w:val="single" w:sz="4" w:space="0" w:color="000000"/>
              <w:left w:val="nil"/>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黄亮</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63</w:t>
            </w:r>
          </w:p>
        </w:tc>
        <w:tc>
          <w:tcPr>
            <w:tcW w:w="1702"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曾  瑶</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数字化转型对制造企业双元创新的影响机制研究</w:t>
            </w:r>
          </w:p>
        </w:tc>
        <w:tc>
          <w:tcPr>
            <w:tcW w:w="874" w:type="dxa"/>
            <w:tcBorders>
              <w:top w:val="single" w:sz="4" w:space="0" w:color="000000"/>
              <w:left w:val="nil"/>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王斌</w:t>
            </w:r>
          </w:p>
        </w:tc>
      </w:tr>
      <w:tr w:rsidR="005C5097" w:rsidTr="005C5097">
        <w:trPr>
          <w:trHeight w:val="384"/>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64</w:t>
            </w:r>
          </w:p>
        </w:tc>
        <w:tc>
          <w:tcPr>
            <w:tcW w:w="1702" w:type="dxa"/>
            <w:tcBorders>
              <w:top w:val="single" w:sz="4" w:space="0" w:color="000000"/>
              <w:left w:val="single" w:sz="4" w:space="0" w:color="000000"/>
              <w:bottom w:val="nil"/>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工商管理学院</w:t>
            </w:r>
          </w:p>
        </w:tc>
        <w:tc>
          <w:tcPr>
            <w:tcW w:w="1217" w:type="dxa"/>
            <w:tcBorders>
              <w:top w:val="single" w:sz="4" w:space="0" w:color="000000"/>
              <w:left w:val="single" w:sz="4" w:space="0" w:color="000000"/>
              <w:bottom w:val="nil"/>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王  滢</w:t>
            </w:r>
          </w:p>
        </w:tc>
        <w:tc>
          <w:tcPr>
            <w:tcW w:w="2037" w:type="dxa"/>
            <w:tcBorders>
              <w:top w:val="single" w:sz="4" w:space="0" w:color="000000"/>
              <w:left w:val="single" w:sz="4" w:space="0" w:color="000000"/>
              <w:bottom w:val="nil"/>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工商管理</w:t>
            </w:r>
          </w:p>
        </w:tc>
        <w:tc>
          <w:tcPr>
            <w:tcW w:w="6631" w:type="dxa"/>
            <w:tcBorders>
              <w:top w:val="single" w:sz="4" w:space="0" w:color="000000"/>
              <w:left w:val="single" w:sz="4" w:space="0" w:color="000000"/>
              <w:bottom w:val="nil"/>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基于心流体验视角的换装手游玩家消费意愿影响因素研究——以闪耀暖暖为例</w:t>
            </w:r>
          </w:p>
        </w:tc>
        <w:tc>
          <w:tcPr>
            <w:tcW w:w="874" w:type="dxa"/>
            <w:tcBorders>
              <w:top w:val="single" w:sz="4" w:space="0" w:color="000000"/>
              <w:left w:val="nil"/>
              <w:bottom w:val="nil"/>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黄国建</w:t>
            </w:r>
          </w:p>
        </w:tc>
      </w:tr>
      <w:tr w:rsidR="005C5097" w:rsidTr="005C5097">
        <w:trPr>
          <w:trHeight w:val="384"/>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65</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李桂曼</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股权结构对资本结构动态调整的影响研究——以医药制造行业的 A 股上市公司为例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陈韶韵</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66</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林佳圆</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央行担保品扩容对企业融资成本与绿色转型的影响——基于债券信用利差视角</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王茜</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67</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郑丹迪</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企业现金持有对企业价值的影响研究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詹江</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68</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吴泽鹏</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中美货币政策的双向溢出效应研究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王茜</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69</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朱芝婷</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投资学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上市公司高管内部薪酬差距与企业创新绩效研究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姚燕</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70</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金融学院</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梁敬豪</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投资学</w:t>
            </w:r>
          </w:p>
        </w:tc>
        <w:tc>
          <w:tcPr>
            <w:tcW w:w="6631"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新冠疫情是否加剧了沪深港股市的波动溢出风险？</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郭文伟</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71</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林琦涵</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金融学</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Has Inclusive Finance Narrowed the Regional And Urban-Rural Income Gap?—— An Empirical Analysis Based on Guangdong Province’s Panel Data</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李羽</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72</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文化旅游与地理学院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赵健汶</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酒店管理</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团队信任氛围对酒店新生代员工个人工作重塑的影响研究---团队心理安全感的中介作用</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李萍</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73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文化旅游与地理学院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梁嘉恒</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酒店管理</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中档酒店跨界营销对品牌个性感知的影响研究：以亚朵酒店为例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郭思远</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74</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文化旅游与地理学院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陈静</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文化管理</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城市舒适物对文化产业发展影响研究——基于人才集聚的中介效应</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蔡晓珊</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75</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文化旅游与地理学院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陈心怡</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文化管理</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广州 T.I.T 创意园休闲者的休闲涉入与地方依恋关系研究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张伟</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76</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文化旅游与地理学院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莫广丽</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旅游管理</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基于仪式理论的网文粉丝群体出游行为研究——以长白山“稻米节”粉丝群为例</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李怡飞</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77</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文化旅游与地理学院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李子轩</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会展管理</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粤港澳大湾区规模以上会展企业创新效率研究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李星</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78</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文化旅游与地理学院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李嘉良</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人文地理与城乡规划</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东江——韩江流域生态廊道构建研究</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孙莹</w:t>
            </w:r>
          </w:p>
        </w:tc>
      </w:tr>
      <w:tr w:rsidR="005C5097" w:rsidTr="005C5097">
        <w:trPr>
          <w:trHeight w:val="288"/>
          <w:jc w:val="center"/>
        </w:trPr>
        <w:tc>
          <w:tcPr>
            <w:tcW w:w="556"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79</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文化旅游与地理学院</w:t>
            </w:r>
          </w:p>
        </w:tc>
        <w:tc>
          <w:tcPr>
            <w:tcW w:w="121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周展</w:t>
            </w:r>
          </w:p>
        </w:tc>
        <w:tc>
          <w:tcPr>
            <w:tcW w:w="2037"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自然地理</w:t>
            </w:r>
          </w:p>
        </w:tc>
        <w:tc>
          <w:tcPr>
            <w:tcW w:w="6631"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基于地理探测器的深圳市植被覆盖度时空演变及因子解析</w:t>
            </w:r>
          </w:p>
        </w:tc>
        <w:tc>
          <w:tcPr>
            <w:tcW w:w="874" w:type="dxa"/>
            <w:tcBorders>
              <w:top w:val="single" w:sz="4" w:space="0" w:color="000000"/>
              <w:left w:val="single" w:sz="4" w:space="0" w:color="000000"/>
              <w:bottom w:val="single" w:sz="4" w:space="0" w:color="000000"/>
              <w:right w:val="single" w:sz="4" w:space="0" w:color="000000"/>
            </w:tcBorders>
            <w:noWrap/>
            <w:vAlign w:val="center"/>
            <w:hideMark/>
          </w:tcPr>
          <w:p w:rsidR="005C5097" w:rsidRDefault="005C5097">
            <w:pPr>
              <w:widowControl/>
              <w:jc w:val="center"/>
              <w:textAlignment w:val="center"/>
              <w:rPr>
                <w:rFonts w:ascii="宋体" w:eastAsia="宋体" w:hAnsi="宋体" w:cs="宋体" w:hint="eastAsia"/>
                <w:color w:val="000000"/>
                <w:kern w:val="0"/>
                <w:sz w:val="16"/>
                <w:szCs w:val="16"/>
                <w:lang w:bidi="ar"/>
              </w:rPr>
            </w:pPr>
            <w:r>
              <w:rPr>
                <w:rFonts w:ascii="宋体" w:eastAsia="宋体" w:hAnsi="宋体" w:cs="宋体" w:hint="eastAsia"/>
                <w:color w:val="000000"/>
                <w:kern w:val="0"/>
                <w:sz w:val="16"/>
                <w:szCs w:val="16"/>
                <w:lang w:bidi="ar"/>
              </w:rPr>
              <w:t>吴艳艳</w:t>
            </w:r>
          </w:p>
        </w:tc>
      </w:tr>
    </w:tbl>
    <w:p w:rsidR="005C5097" w:rsidRDefault="005C5097" w:rsidP="005C5097">
      <w:pPr>
        <w:rPr>
          <w:rFonts w:ascii="仿宋" w:eastAsia="仿宋" w:hAnsi="仿宋" w:cs="仿宋" w:hint="eastAsia"/>
          <w:sz w:val="32"/>
          <w:szCs w:val="32"/>
        </w:rPr>
      </w:pPr>
    </w:p>
    <w:p w:rsidR="00C079FF" w:rsidRDefault="00C079FF">
      <w:pPr>
        <w:rPr>
          <w:rFonts w:hint="eastAsia"/>
        </w:rPr>
      </w:pPr>
    </w:p>
    <w:sectPr w:rsidR="00C079FF" w:rsidSect="005C509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7B"/>
    <w:rsid w:val="0048357B"/>
    <w:rsid w:val="005C5097"/>
    <w:rsid w:val="00C0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F9D1A-CA29-4F48-9F97-F6EC5BE3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09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sid w:val="005C5097"/>
    <w:rPr>
      <w:rFonts w:ascii="宋体" w:eastAsia="宋体" w:hAnsi="宋体" w:cs="宋体" w:hint="eastAsia"/>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3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663</Words>
  <Characters>3784</Characters>
  <Application>Microsoft Office Word</Application>
  <DocSecurity>0</DocSecurity>
  <Lines>31</Lines>
  <Paragraphs>8</Paragraphs>
  <ScaleCrop>false</ScaleCrop>
  <Company>MS</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舒磊(20051917)</dc:creator>
  <cp:keywords/>
  <dc:description/>
  <cp:lastModifiedBy>舒磊(20051917)</cp:lastModifiedBy>
  <cp:revision>3</cp:revision>
  <dcterms:created xsi:type="dcterms:W3CDTF">2023-06-01T02:32:00Z</dcterms:created>
  <dcterms:modified xsi:type="dcterms:W3CDTF">2023-06-01T02:33:00Z</dcterms:modified>
</cp:coreProperties>
</file>